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89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8"/>
        <w:gridCol w:w="1438"/>
        <w:gridCol w:w="1438"/>
        <w:gridCol w:w="1437"/>
        <w:gridCol w:w="1431"/>
        <w:gridCol w:w="1438"/>
      </w:tblGrid>
      <w:tr w:rsidR="003C5350" w:rsidRPr="001A60D6" w14:paraId="4E494052" w14:textId="77777777" w:rsidTr="00CA644E">
        <w:trPr>
          <w:trHeight w:val="3402"/>
          <w:jc w:val="center"/>
        </w:trPr>
        <w:tc>
          <w:tcPr>
            <w:tcW w:w="8900" w:type="dxa"/>
            <w:gridSpan w:val="6"/>
            <w:vAlign w:val="center"/>
          </w:tcPr>
          <w:p w14:paraId="2879EBFD" w14:textId="77777777" w:rsidR="00D36692" w:rsidRPr="001A60D6" w:rsidRDefault="00D36692" w:rsidP="003C5350">
            <w:pPr>
              <w:spacing w:before="180" w:after="180"/>
              <w:jc w:val="center"/>
              <w:rPr>
                <w:rFonts w:ascii="Aptos" w:hAnsi="Aptos"/>
                <w:sz w:val="22"/>
                <w:szCs w:val="22"/>
              </w:rPr>
            </w:pPr>
          </w:p>
          <w:p w14:paraId="4E7A8B92" w14:textId="0C9AC4BB" w:rsidR="003C5350" w:rsidRPr="001A60D6" w:rsidRDefault="003C5350" w:rsidP="003C5350">
            <w:pPr>
              <w:spacing w:before="180" w:after="180"/>
              <w:jc w:val="center"/>
              <w:rPr>
                <w:rFonts w:ascii="Aptos" w:hAnsi="Aptos"/>
                <w:sz w:val="22"/>
                <w:szCs w:val="22"/>
              </w:rPr>
            </w:pPr>
            <w:r w:rsidRPr="001A60D6">
              <w:rPr>
                <w:rFonts w:ascii="Aptos" w:hAnsi="Aptos"/>
                <w:noProof/>
                <w:color w:val="000000" w:themeColor="text1"/>
                <w:sz w:val="22"/>
                <w:szCs w:val="22"/>
                <w:lang w:eastAsia="en-GB"/>
              </w:rPr>
              <w:drawing>
                <wp:inline distT="0" distB="0" distL="0" distR="0" wp14:anchorId="65A01C34" wp14:editId="4A66EDCD">
                  <wp:extent cx="5346700" cy="137160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omicc_logo_white.png"/>
                          <pic:cNvPicPr/>
                        </pic:nvPicPr>
                        <pic:blipFill>
                          <a:blip r:embed="rId11">
                            <a:extLst>
                              <a:ext uri="{28A0092B-C50C-407E-A947-70E740481C1C}">
                                <a14:useLocalDpi xmlns:a14="http://schemas.microsoft.com/office/drawing/2010/main" val="0"/>
                              </a:ext>
                            </a:extLst>
                          </a:blip>
                          <a:stretch>
                            <a:fillRect/>
                          </a:stretch>
                        </pic:blipFill>
                        <pic:spPr>
                          <a:xfrm>
                            <a:off x="0" y="0"/>
                            <a:ext cx="5346700" cy="1371600"/>
                          </a:xfrm>
                          <a:prstGeom prst="rect">
                            <a:avLst/>
                          </a:prstGeom>
                        </pic:spPr>
                      </pic:pic>
                    </a:graphicData>
                  </a:graphic>
                </wp:inline>
              </w:drawing>
            </w:r>
          </w:p>
        </w:tc>
      </w:tr>
      <w:tr w:rsidR="003C5350" w:rsidRPr="001A60D6" w14:paraId="6EE91681" w14:textId="77777777" w:rsidTr="00CA644E">
        <w:trPr>
          <w:trHeight w:val="3402"/>
          <w:jc w:val="center"/>
        </w:trPr>
        <w:tc>
          <w:tcPr>
            <w:tcW w:w="8900" w:type="dxa"/>
            <w:gridSpan w:val="6"/>
            <w:vAlign w:val="center"/>
          </w:tcPr>
          <w:p w14:paraId="0433D73B" w14:textId="6CF4DC5C" w:rsidR="006A64E1" w:rsidRPr="001A60D6" w:rsidRDefault="006A64E1" w:rsidP="006A64E1">
            <w:pPr>
              <w:spacing w:before="180" w:after="180"/>
              <w:jc w:val="center"/>
              <w:rPr>
                <w:rFonts w:ascii="Aptos" w:hAnsi="Aptos"/>
                <w:sz w:val="22"/>
                <w:szCs w:val="22"/>
              </w:rPr>
            </w:pPr>
            <w:r w:rsidRPr="001A60D6">
              <w:rPr>
                <w:rFonts w:ascii="Aptos" w:hAnsi="Aptos"/>
                <w:sz w:val="22"/>
                <w:szCs w:val="22"/>
              </w:rPr>
              <w:t>GenOMICC Study Protocol V</w:t>
            </w:r>
            <w:r w:rsidR="00687D40" w:rsidRPr="001A60D6">
              <w:rPr>
                <w:rFonts w:ascii="Aptos" w:hAnsi="Aptos"/>
                <w:sz w:val="22"/>
                <w:szCs w:val="22"/>
              </w:rPr>
              <w:t>4.0</w:t>
            </w:r>
            <w:r w:rsidRPr="001A60D6">
              <w:rPr>
                <w:rFonts w:ascii="Aptos" w:hAnsi="Aptos"/>
                <w:sz w:val="22"/>
                <w:szCs w:val="22"/>
              </w:rPr>
              <w:t>_International</w:t>
            </w:r>
          </w:p>
          <w:p w14:paraId="6B357349" w14:textId="5E9C9846" w:rsidR="003C5350" w:rsidRPr="001A60D6" w:rsidRDefault="003C5350" w:rsidP="003C5350">
            <w:pPr>
              <w:spacing w:before="180" w:after="180"/>
              <w:jc w:val="center"/>
              <w:rPr>
                <w:rFonts w:ascii="Aptos" w:hAnsi="Aptos"/>
                <w:sz w:val="22"/>
                <w:szCs w:val="22"/>
              </w:rPr>
            </w:pPr>
          </w:p>
          <w:p w14:paraId="7C94AE21" w14:textId="5A4DCD8E" w:rsidR="003C5350" w:rsidRPr="001A60D6" w:rsidRDefault="00307226" w:rsidP="003C5350">
            <w:pPr>
              <w:spacing w:before="180" w:after="180"/>
              <w:jc w:val="center"/>
              <w:rPr>
                <w:rFonts w:ascii="Aptos" w:hAnsi="Aptos"/>
                <w:sz w:val="22"/>
                <w:szCs w:val="22"/>
              </w:rPr>
            </w:pPr>
            <w:r w:rsidRPr="001A60D6">
              <w:rPr>
                <w:rFonts w:ascii="Aptos" w:hAnsi="Aptos"/>
                <w:sz w:val="22"/>
                <w:szCs w:val="22"/>
              </w:rPr>
              <w:t>xxxxxxxxxxxxx</w:t>
            </w:r>
            <w:r w:rsidR="003C5350" w:rsidRPr="001A60D6">
              <w:rPr>
                <w:rFonts w:ascii="Aptos" w:hAnsi="Aptos"/>
                <w:sz w:val="22"/>
                <w:szCs w:val="22"/>
              </w:rPr>
              <w:t xml:space="preserve"> 202</w:t>
            </w:r>
            <w:r w:rsidR="00213589" w:rsidRPr="001A60D6">
              <w:rPr>
                <w:rFonts w:ascii="Aptos" w:hAnsi="Aptos"/>
                <w:sz w:val="22"/>
                <w:szCs w:val="22"/>
              </w:rPr>
              <w:t>5</w:t>
            </w:r>
          </w:p>
        </w:tc>
      </w:tr>
      <w:tr w:rsidR="003C5350" w:rsidRPr="001A60D6" w14:paraId="56398A18" w14:textId="77777777" w:rsidTr="00CA644E">
        <w:trPr>
          <w:trHeight w:val="2268"/>
          <w:jc w:val="center"/>
        </w:trPr>
        <w:tc>
          <w:tcPr>
            <w:tcW w:w="8900" w:type="dxa"/>
            <w:gridSpan w:val="6"/>
          </w:tcPr>
          <w:p w14:paraId="7F115011" w14:textId="77777777" w:rsidR="003C5350" w:rsidRPr="001A60D6" w:rsidRDefault="003C5350" w:rsidP="003C5350">
            <w:pPr>
              <w:spacing w:before="180" w:after="180"/>
              <w:jc w:val="center"/>
              <w:rPr>
                <w:rFonts w:ascii="Aptos" w:hAnsi="Aptos"/>
                <w:sz w:val="22"/>
                <w:szCs w:val="22"/>
              </w:rPr>
            </w:pPr>
            <w:r w:rsidRPr="001A60D6">
              <w:rPr>
                <w:rFonts w:ascii="Aptos" w:hAnsi="Aptos"/>
                <w:sz w:val="22"/>
                <w:szCs w:val="22"/>
              </w:rPr>
              <w:t>Genetics of Mortality in Critical Care</w:t>
            </w:r>
          </w:p>
        </w:tc>
      </w:tr>
      <w:tr w:rsidR="003C5350" w:rsidRPr="001A60D6" w14:paraId="4C2CDCC9" w14:textId="77777777" w:rsidTr="00CA6DA3">
        <w:trPr>
          <w:jc w:val="center"/>
        </w:trPr>
        <w:tc>
          <w:tcPr>
            <w:tcW w:w="1718" w:type="dxa"/>
            <w:vAlign w:val="center"/>
          </w:tcPr>
          <w:p w14:paraId="7873A68A" w14:textId="77777777" w:rsidR="003C5350" w:rsidRPr="001A60D6" w:rsidRDefault="003C5350" w:rsidP="003C5350">
            <w:pPr>
              <w:spacing w:before="180" w:after="180"/>
              <w:jc w:val="center"/>
              <w:rPr>
                <w:rFonts w:ascii="Aptos" w:hAnsi="Aptos"/>
                <w:sz w:val="22"/>
                <w:szCs w:val="22"/>
              </w:rPr>
            </w:pPr>
            <w:r w:rsidRPr="001A60D6">
              <w:rPr>
                <w:rFonts w:ascii="Aptos" w:hAnsi="Aptos"/>
                <w:caps/>
                <w:noProof/>
                <w:color w:val="000000" w:themeColor="text1"/>
                <w:spacing w:val="5"/>
                <w:sz w:val="22"/>
                <w:szCs w:val="22"/>
                <w:lang w:eastAsia="en-GB"/>
              </w:rPr>
              <w:drawing>
                <wp:inline distT="0" distB="0" distL="0" distR="0" wp14:anchorId="69BDB56D" wp14:editId="2DE5FC47">
                  <wp:extent cx="954000" cy="543600"/>
                  <wp:effectExtent l="0" t="0" r="0" b="2540"/>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ARIC_Logo_PMS1925_White.png"/>
                          <pic:cNvPicPr/>
                        </pic:nvPicPr>
                        <pic:blipFill rotWithShape="1">
                          <a:blip r:embed="rId12" cstate="print">
                            <a:extLst>
                              <a:ext uri="{28A0092B-C50C-407E-A947-70E740481C1C}">
                                <a14:useLocalDpi xmlns:a14="http://schemas.microsoft.com/office/drawing/2010/main" val="0"/>
                              </a:ext>
                            </a:extLst>
                          </a:blip>
                          <a:srcRect t="12053" r="14658" b="23003"/>
                          <a:stretch/>
                        </pic:blipFill>
                        <pic:spPr bwMode="auto">
                          <a:xfrm>
                            <a:off x="0" y="0"/>
                            <a:ext cx="954000" cy="543600"/>
                          </a:xfrm>
                          <a:prstGeom prst="rect">
                            <a:avLst/>
                          </a:prstGeom>
                          <a:ln>
                            <a:noFill/>
                          </a:ln>
                          <a:extLst>
                            <a:ext uri="{53640926-AAD7-44D8-BBD7-CCE9431645EC}">
                              <a14:shadowObscured xmlns:a14="http://schemas.microsoft.com/office/drawing/2010/main"/>
                            </a:ext>
                          </a:extLst>
                        </pic:spPr>
                      </pic:pic>
                    </a:graphicData>
                  </a:graphic>
                </wp:inline>
              </w:drawing>
            </w:r>
          </w:p>
        </w:tc>
        <w:tc>
          <w:tcPr>
            <w:tcW w:w="2876" w:type="dxa"/>
            <w:gridSpan w:val="2"/>
            <w:vAlign w:val="center"/>
          </w:tcPr>
          <w:p w14:paraId="07C8E496" w14:textId="77777777" w:rsidR="003C5350" w:rsidRPr="001A60D6" w:rsidRDefault="003C5350" w:rsidP="003C5350">
            <w:pPr>
              <w:spacing w:before="180" w:after="180"/>
              <w:jc w:val="center"/>
              <w:rPr>
                <w:rFonts w:ascii="Aptos" w:hAnsi="Aptos"/>
                <w:sz w:val="22"/>
                <w:szCs w:val="22"/>
              </w:rPr>
            </w:pPr>
            <w:r w:rsidRPr="001A60D6">
              <w:rPr>
                <w:rFonts w:ascii="Aptos" w:hAnsi="Aptos"/>
                <w:caps/>
                <w:noProof/>
                <w:color w:val="000000" w:themeColor="text1"/>
                <w:spacing w:val="5"/>
                <w:sz w:val="22"/>
                <w:szCs w:val="22"/>
                <w:lang w:eastAsia="en-GB"/>
              </w:rPr>
              <w:drawing>
                <wp:inline distT="0" distB="0" distL="0" distR="0" wp14:anchorId="6B0BF5EC" wp14:editId="44E65F89">
                  <wp:extent cx="1364691" cy="449318"/>
                  <wp:effectExtent l="0" t="0" r="0" b="0"/>
                  <wp:docPr id="11" name="Picture 1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FACT_Logo.jpg"/>
                          <pic:cNvPicPr/>
                        </pic:nvPicPr>
                        <pic:blipFill rotWithShape="1">
                          <a:blip r:embed="rId13" cstate="print">
                            <a:extLst>
                              <a:ext uri="{28A0092B-C50C-407E-A947-70E740481C1C}">
                                <a14:useLocalDpi xmlns:a14="http://schemas.microsoft.com/office/drawing/2010/main" val="0"/>
                              </a:ext>
                            </a:extLst>
                          </a:blip>
                          <a:srcRect b="50414"/>
                          <a:stretch/>
                        </pic:blipFill>
                        <pic:spPr bwMode="auto">
                          <a:xfrm>
                            <a:off x="0" y="0"/>
                            <a:ext cx="1392108" cy="458345"/>
                          </a:xfrm>
                          <a:prstGeom prst="rect">
                            <a:avLst/>
                          </a:prstGeom>
                          <a:ln>
                            <a:noFill/>
                          </a:ln>
                          <a:extLst>
                            <a:ext uri="{53640926-AAD7-44D8-BBD7-CCE9431645EC}">
                              <a14:shadowObscured xmlns:a14="http://schemas.microsoft.com/office/drawing/2010/main"/>
                            </a:ext>
                          </a:extLst>
                        </pic:spPr>
                      </pic:pic>
                    </a:graphicData>
                  </a:graphic>
                </wp:inline>
              </w:drawing>
            </w:r>
          </w:p>
        </w:tc>
        <w:tc>
          <w:tcPr>
            <w:tcW w:w="2868" w:type="dxa"/>
            <w:gridSpan w:val="2"/>
            <w:vAlign w:val="center"/>
          </w:tcPr>
          <w:p w14:paraId="40F60A0F" w14:textId="77777777" w:rsidR="003C5350" w:rsidRPr="001A60D6" w:rsidRDefault="003C5350" w:rsidP="003C5350">
            <w:pPr>
              <w:spacing w:before="180" w:after="180"/>
              <w:jc w:val="center"/>
              <w:rPr>
                <w:rFonts w:ascii="Aptos" w:hAnsi="Aptos"/>
                <w:sz w:val="22"/>
                <w:szCs w:val="22"/>
              </w:rPr>
            </w:pPr>
            <w:r w:rsidRPr="001A60D6">
              <w:rPr>
                <w:rFonts w:ascii="Aptos" w:hAnsi="Aptos"/>
                <w:caps/>
                <w:noProof/>
                <w:color w:val="000000" w:themeColor="text1"/>
                <w:spacing w:val="5"/>
                <w:sz w:val="22"/>
                <w:szCs w:val="22"/>
                <w:lang w:eastAsia="en-GB"/>
              </w:rPr>
              <w:drawing>
                <wp:inline distT="0" distB="0" distL="0" distR="0" wp14:anchorId="54EBEDE6" wp14:editId="7A12764E">
                  <wp:extent cx="1186815" cy="450850"/>
                  <wp:effectExtent l="0" t="0" r="0" b="6350"/>
                  <wp:docPr id="12" name="Picture 1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s_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6815" cy="450850"/>
                          </a:xfrm>
                          <a:prstGeom prst="rect">
                            <a:avLst/>
                          </a:prstGeom>
                        </pic:spPr>
                      </pic:pic>
                    </a:graphicData>
                  </a:graphic>
                </wp:inline>
              </w:drawing>
            </w:r>
          </w:p>
        </w:tc>
        <w:tc>
          <w:tcPr>
            <w:tcW w:w="1438" w:type="dxa"/>
            <w:vAlign w:val="center"/>
          </w:tcPr>
          <w:p w14:paraId="39ECCACD" w14:textId="77777777" w:rsidR="003C5350" w:rsidRPr="001A60D6" w:rsidRDefault="003C5350" w:rsidP="003C5350">
            <w:pPr>
              <w:spacing w:before="180" w:after="180"/>
              <w:jc w:val="center"/>
              <w:rPr>
                <w:rFonts w:ascii="Aptos" w:hAnsi="Aptos"/>
                <w:sz w:val="22"/>
                <w:szCs w:val="22"/>
              </w:rPr>
            </w:pPr>
            <w:r w:rsidRPr="001A60D6">
              <w:rPr>
                <w:rFonts w:ascii="Aptos" w:hAnsi="Aptos"/>
                <w:caps/>
                <w:noProof/>
                <w:color w:val="000000" w:themeColor="text1"/>
                <w:spacing w:val="5"/>
                <w:sz w:val="22"/>
                <w:szCs w:val="22"/>
                <w:lang w:eastAsia="en-GB"/>
              </w:rPr>
              <w:drawing>
                <wp:inline distT="0" distB="0" distL="0" distR="0" wp14:anchorId="315181CD" wp14:editId="1EED6BDE">
                  <wp:extent cx="615600" cy="810000"/>
                  <wp:effectExtent l="0" t="0" r="0" b="3175"/>
                  <wp:docPr id="13" name="Picture 13"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eat_log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5600" cy="810000"/>
                          </a:xfrm>
                          <a:prstGeom prst="rect">
                            <a:avLst/>
                          </a:prstGeom>
                        </pic:spPr>
                      </pic:pic>
                    </a:graphicData>
                  </a:graphic>
                </wp:inline>
              </w:drawing>
            </w:r>
          </w:p>
        </w:tc>
      </w:tr>
      <w:tr w:rsidR="003C5350" w:rsidRPr="001A60D6" w14:paraId="780EAA17" w14:textId="77777777" w:rsidTr="00CA6DA3">
        <w:trPr>
          <w:trHeight w:val="1620"/>
          <w:jc w:val="center"/>
        </w:trPr>
        <w:tc>
          <w:tcPr>
            <w:tcW w:w="3156" w:type="dxa"/>
            <w:gridSpan w:val="2"/>
            <w:vAlign w:val="center"/>
          </w:tcPr>
          <w:p w14:paraId="701EDB57" w14:textId="77777777" w:rsidR="003C5350" w:rsidRPr="001A60D6" w:rsidRDefault="003C5350" w:rsidP="003C5350">
            <w:pPr>
              <w:spacing w:before="180" w:after="180"/>
              <w:jc w:val="center"/>
              <w:rPr>
                <w:rFonts w:ascii="Aptos" w:hAnsi="Aptos"/>
                <w:caps/>
                <w:noProof/>
                <w:color w:val="000000" w:themeColor="text1"/>
                <w:spacing w:val="5"/>
                <w:sz w:val="22"/>
                <w:szCs w:val="22"/>
                <w:lang w:eastAsia="en-GB"/>
              </w:rPr>
            </w:pPr>
            <w:r w:rsidRPr="001A60D6">
              <w:rPr>
                <w:rFonts w:ascii="Aptos" w:hAnsi="Aptos"/>
                <w:noProof/>
                <w:color w:val="000000" w:themeColor="text1"/>
                <w:sz w:val="22"/>
                <w:szCs w:val="22"/>
                <w:lang w:eastAsia="en-GB"/>
              </w:rPr>
              <w:drawing>
                <wp:inline distT="0" distB="0" distL="0" distR="0" wp14:anchorId="154FE7B0" wp14:editId="3577FBB7">
                  <wp:extent cx="756000" cy="748800"/>
                  <wp:effectExtent l="0" t="0" r="6350" b="635"/>
                  <wp:docPr id="14" name="Picture 1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oe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6000" cy="748800"/>
                          </a:xfrm>
                          <a:prstGeom prst="rect">
                            <a:avLst/>
                          </a:prstGeom>
                        </pic:spPr>
                      </pic:pic>
                    </a:graphicData>
                  </a:graphic>
                </wp:inline>
              </w:drawing>
            </w:r>
          </w:p>
        </w:tc>
        <w:tc>
          <w:tcPr>
            <w:tcW w:w="2875" w:type="dxa"/>
            <w:gridSpan w:val="2"/>
            <w:vAlign w:val="center"/>
          </w:tcPr>
          <w:p w14:paraId="6AD18E04" w14:textId="77777777" w:rsidR="003C5350" w:rsidRPr="001A60D6" w:rsidRDefault="003C5350" w:rsidP="003C5350">
            <w:pPr>
              <w:spacing w:before="180" w:after="180"/>
              <w:jc w:val="center"/>
              <w:rPr>
                <w:rFonts w:ascii="Aptos" w:hAnsi="Aptos"/>
                <w:caps/>
                <w:noProof/>
                <w:color w:val="000000" w:themeColor="text1"/>
                <w:spacing w:val="5"/>
                <w:sz w:val="22"/>
                <w:szCs w:val="22"/>
                <w:lang w:eastAsia="en-GB"/>
              </w:rPr>
            </w:pPr>
            <w:r w:rsidRPr="001A60D6">
              <w:rPr>
                <w:rFonts w:ascii="Aptos" w:hAnsi="Aptos"/>
                <w:noProof/>
                <w:color w:val="000000" w:themeColor="text1"/>
                <w:sz w:val="22"/>
                <w:szCs w:val="22"/>
                <w:lang w:eastAsia="en-GB"/>
              </w:rPr>
              <w:drawing>
                <wp:inline distT="0" distB="0" distL="0" distR="0" wp14:anchorId="57007ED6" wp14:editId="490EAC09">
                  <wp:extent cx="568800" cy="568800"/>
                  <wp:effectExtent l="0" t="0" r="3175" b="3175"/>
                  <wp:docPr id="15" name="Picture 15" descr="A picture containing sitting, black, dark, lap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ellcome-logo-black.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8800" cy="568800"/>
                          </a:xfrm>
                          <a:prstGeom prst="rect">
                            <a:avLst/>
                          </a:prstGeom>
                        </pic:spPr>
                      </pic:pic>
                    </a:graphicData>
                  </a:graphic>
                </wp:inline>
              </w:drawing>
            </w:r>
          </w:p>
        </w:tc>
        <w:tc>
          <w:tcPr>
            <w:tcW w:w="2869" w:type="dxa"/>
            <w:gridSpan w:val="2"/>
            <w:vAlign w:val="center"/>
          </w:tcPr>
          <w:p w14:paraId="04422193" w14:textId="77777777" w:rsidR="003C5350" w:rsidRPr="001A60D6" w:rsidRDefault="003C5350" w:rsidP="003C5350">
            <w:pPr>
              <w:spacing w:before="180" w:after="180"/>
              <w:jc w:val="center"/>
              <w:rPr>
                <w:rFonts w:ascii="Aptos" w:hAnsi="Aptos"/>
                <w:caps/>
                <w:noProof/>
                <w:color w:val="000000" w:themeColor="text1"/>
                <w:spacing w:val="5"/>
                <w:sz w:val="22"/>
                <w:szCs w:val="22"/>
                <w:lang w:eastAsia="en-GB"/>
              </w:rPr>
            </w:pPr>
            <w:r w:rsidRPr="001A60D6">
              <w:rPr>
                <w:rFonts w:ascii="Aptos" w:hAnsi="Aptos"/>
                <w:noProof/>
                <w:color w:val="000000" w:themeColor="text1"/>
                <w:sz w:val="22"/>
                <w:szCs w:val="22"/>
                <w:lang w:eastAsia="en-GB"/>
              </w:rPr>
              <w:drawing>
                <wp:inline distT="0" distB="0" distL="0" distR="0" wp14:anchorId="52EABC5F" wp14:editId="12495FF5">
                  <wp:extent cx="565200" cy="741600"/>
                  <wp:effectExtent l="0" t="0" r="0" b="0"/>
                  <wp:docPr id="16" name="Picture 1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kri.png"/>
                          <pic:cNvPicPr/>
                        </pic:nvPicPr>
                        <pic:blipFill>
                          <a:blip r:embed="rId18">
                            <a:extLst>
                              <a:ext uri="{28A0092B-C50C-407E-A947-70E740481C1C}">
                                <a14:useLocalDpi xmlns:a14="http://schemas.microsoft.com/office/drawing/2010/main" val="0"/>
                              </a:ext>
                            </a:extLst>
                          </a:blip>
                          <a:stretch>
                            <a:fillRect/>
                          </a:stretch>
                        </pic:blipFill>
                        <pic:spPr>
                          <a:xfrm>
                            <a:off x="0" y="0"/>
                            <a:ext cx="565200" cy="741600"/>
                          </a:xfrm>
                          <a:prstGeom prst="rect">
                            <a:avLst/>
                          </a:prstGeom>
                        </pic:spPr>
                      </pic:pic>
                    </a:graphicData>
                  </a:graphic>
                </wp:inline>
              </w:drawing>
            </w:r>
          </w:p>
        </w:tc>
      </w:tr>
    </w:tbl>
    <w:sdt>
      <w:sdtPr>
        <w:id w:val="-146213411"/>
        <w:docPartObj>
          <w:docPartGallery w:val="Table of Contents"/>
          <w:docPartUnique/>
        </w:docPartObj>
      </w:sdtPr>
      <w:sdtEndPr>
        <w:rPr>
          <w:rFonts w:asciiTheme="minorHAnsi" w:hAnsiTheme="minorHAnsi"/>
          <w:caps w:val="0"/>
          <w:noProof/>
          <w:color w:val="auto"/>
          <w:spacing w:val="0"/>
          <w:sz w:val="20"/>
          <w:szCs w:val="20"/>
        </w:rPr>
      </w:sdtEndPr>
      <w:sdtContent>
        <w:p w14:paraId="714E0A42" w14:textId="360F14FB" w:rsidR="0040681B" w:rsidRDefault="0040681B">
          <w:pPr>
            <w:pStyle w:val="TOCHeading"/>
          </w:pPr>
          <w:r>
            <w:t>Contents</w:t>
          </w:r>
        </w:p>
        <w:p w14:paraId="7F2C9797" w14:textId="335A0A40" w:rsidR="0040681B" w:rsidRDefault="0040681B">
          <w:pPr>
            <w:pStyle w:val="TOC1"/>
            <w:rPr>
              <w:rFonts w:asciiTheme="minorHAnsi" w:hAnsiTheme="minorHAnsi"/>
              <w:b w:val="0"/>
              <w:bCs w:val="0"/>
              <w:sz w:val="22"/>
              <w:szCs w:val="22"/>
              <w:lang w:eastAsia="en-GB"/>
            </w:rPr>
          </w:pPr>
          <w:r>
            <w:fldChar w:fldCharType="begin"/>
          </w:r>
          <w:r>
            <w:instrText xml:space="preserve"> TOC \o "1-3" \h \z \u </w:instrText>
          </w:r>
          <w:r>
            <w:fldChar w:fldCharType="separate"/>
          </w:r>
          <w:hyperlink w:anchor="_Toc188625278" w:history="1">
            <w:r w:rsidRPr="00022F49">
              <w:rPr>
                <w:rStyle w:val="Hyperlink"/>
              </w:rPr>
              <w:t>Protocol authors and study staff</w:t>
            </w:r>
            <w:r>
              <w:rPr>
                <w:webHidden/>
              </w:rPr>
              <w:tab/>
            </w:r>
            <w:r>
              <w:rPr>
                <w:webHidden/>
              </w:rPr>
              <w:fldChar w:fldCharType="begin"/>
            </w:r>
            <w:r>
              <w:rPr>
                <w:webHidden/>
              </w:rPr>
              <w:instrText xml:space="preserve"> PAGEREF _Toc188625278 \h </w:instrText>
            </w:r>
            <w:r>
              <w:rPr>
                <w:webHidden/>
              </w:rPr>
            </w:r>
            <w:r>
              <w:rPr>
                <w:webHidden/>
              </w:rPr>
              <w:fldChar w:fldCharType="separate"/>
            </w:r>
            <w:r>
              <w:rPr>
                <w:webHidden/>
              </w:rPr>
              <w:t>5</w:t>
            </w:r>
            <w:r>
              <w:rPr>
                <w:webHidden/>
              </w:rPr>
              <w:fldChar w:fldCharType="end"/>
            </w:r>
          </w:hyperlink>
        </w:p>
        <w:p w14:paraId="6CC06D5F" w14:textId="577EA233" w:rsidR="0040681B" w:rsidRDefault="0040681B">
          <w:pPr>
            <w:pStyle w:val="TOC1"/>
            <w:rPr>
              <w:rFonts w:asciiTheme="minorHAnsi" w:hAnsiTheme="minorHAnsi"/>
              <w:b w:val="0"/>
              <w:bCs w:val="0"/>
              <w:sz w:val="22"/>
              <w:szCs w:val="22"/>
              <w:lang w:eastAsia="en-GB"/>
            </w:rPr>
          </w:pPr>
          <w:hyperlink w:anchor="_Toc188625279" w:history="1">
            <w:r w:rsidRPr="00022F49">
              <w:rPr>
                <w:rStyle w:val="Hyperlink"/>
              </w:rPr>
              <w:t>Aims</w:t>
            </w:r>
            <w:r>
              <w:rPr>
                <w:webHidden/>
              </w:rPr>
              <w:tab/>
            </w:r>
            <w:r>
              <w:rPr>
                <w:webHidden/>
              </w:rPr>
              <w:fldChar w:fldCharType="begin"/>
            </w:r>
            <w:r>
              <w:rPr>
                <w:webHidden/>
              </w:rPr>
              <w:instrText xml:space="preserve"> PAGEREF _Toc188625279 \h </w:instrText>
            </w:r>
            <w:r>
              <w:rPr>
                <w:webHidden/>
              </w:rPr>
            </w:r>
            <w:r>
              <w:rPr>
                <w:webHidden/>
              </w:rPr>
              <w:fldChar w:fldCharType="separate"/>
            </w:r>
            <w:r>
              <w:rPr>
                <w:webHidden/>
              </w:rPr>
              <w:t>5</w:t>
            </w:r>
            <w:r>
              <w:rPr>
                <w:webHidden/>
              </w:rPr>
              <w:fldChar w:fldCharType="end"/>
            </w:r>
          </w:hyperlink>
        </w:p>
        <w:p w14:paraId="2D30B68C" w14:textId="12F0659A" w:rsidR="0040681B" w:rsidRDefault="0040681B">
          <w:pPr>
            <w:pStyle w:val="TOC1"/>
            <w:rPr>
              <w:rFonts w:asciiTheme="minorHAnsi" w:hAnsiTheme="minorHAnsi"/>
              <w:b w:val="0"/>
              <w:bCs w:val="0"/>
              <w:sz w:val="22"/>
              <w:szCs w:val="22"/>
              <w:lang w:eastAsia="en-GB"/>
            </w:rPr>
          </w:pPr>
          <w:hyperlink w:anchor="_Toc188625280" w:history="1">
            <w:r w:rsidRPr="00022F49">
              <w:rPr>
                <w:rStyle w:val="Hyperlink"/>
              </w:rPr>
              <w:t>Objectives</w:t>
            </w:r>
            <w:r>
              <w:rPr>
                <w:webHidden/>
              </w:rPr>
              <w:tab/>
            </w:r>
            <w:r>
              <w:rPr>
                <w:webHidden/>
              </w:rPr>
              <w:fldChar w:fldCharType="begin"/>
            </w:r>
            <w:r>
              <w:rPr>
                <w:webHidden/>
              </w:rPr>
              <w:instrText xml:space="preserve"> PAGEREF _Toc188625280 \h </w:instrText>
            </w:r>
            <w:r>
              <w:rPr>
                <w:webHidden/>
              </w:rPr>
            </w:r>
            <w:r>
              <w:rPr>
                <w:webHidden/>
              </w:rPr>
              <w:fldChar w:fldCharType="separate"/>
            </w:r>
            <w:r>
              <w:rPr>
                <w:webHidden/>
              </w:rPr>
              <w:t>5</w:t>
            </w:r>
            <w:r>
              <w:rPr>
                <w:webHidden/>
              </w:rPr>
              <w:fldChar w:fldCharType="end"/>
            </w:r>
          </w:hyperlink>
        </w:p>
        <w:p w14:paraId="40D7D507" w14:textId="1142C2E0" w:rsidR="0040681B" w:rsidRDefault="0040681B">
          <w:pPr>
            <w:pStyle w:val="TOC2"/>
            <w:tabs>
              <w:tab w:val="right" w:leader="dot" w:pos="9350"/>
            </w:tabs>
            <w:rPr>
              <w:b w:val="0"/>
              <w:bCs w:val="0"/>
              <w:noProof/>
              <w:lang w:eastAsia="en-GB"/>
            </w:rPr>
          </w:pPr>
          <w:hyperlink w:anchor="_Toc188625281" w:history="1">
            <w:r w:rsidRPr="00022F49">
              <w:rPr>
                <w:rStyle w:val="Hyperlink"/>
                <w:rFonts w:ascii="Aptos" w:hAnsi="Aptos"/>
                <w:noProof/>
              </w:rPr>
              <w:t>RECRUITMENT FROM CRITICAL CARE</w:t>
            </w:r>
            <w:r>
              <w:rPr>
                <w:noProof/>
                <w:webHidden/>
              </w:rPr>
              <w:tab/>
            </w:r>
            <w:r>
              <w:rPr>
                <w:noProof/>
                <w:webHidden/>
              </w:rPr>
              <w:fldChar w:fldCharType="begin"/>
            </w:r>
            <w:r>
              <w:rPr>
                <w:noProof/>
                <w:webHidden/>
              </w:rPr>
              <w:instrText xml:space="preserve"> PAGEREF _Toc188625281 \h </w:instrText>
            </w:r>
            <w:r>
              <w:rPr>
                <w:noProof/>
                <w:webHidden/>
              </w:rPr>
            </w:r>
            <w:r>
              <w:rPr>
                <w:noProof/>
                <w:webHidden/>
              </w:rPr>
              <w:fldChar w:fldCharType="separate"/>
            </w:r>
            <w:r>
              <w:rPr>
                <w:noProof/>
                <w:webHidden/>
              </w:rPr>
              <w:t>5</w:t>
            </w:r>
            <w:r>
              <w:rPr>
                <w:noProof/>
                <w:webHidden/>
              </w:rPr>
              <w:fldChar w:fldCharType="end"/>
            </w:r>
          </w:hyperlink>
        </w:p>
        <w:p w14:paraId="331441EA" w14:textId="32F4FDD4" w:rsidR="0040681B" w:rsidRDefault="0040681B">
          <w:pPr>
            <w:pStyle w:val="TOC2"/>
            <w:tabs>
              <w:tab w:val="right" w:leader="dot" w:pos="9350"/>
            </w:tabs>
            <w:rPr>
              <w:b w:val="0"/>
              <w:bCs w:val="0"/>
              <w:noProof/>
              <w:lang w:eastAsia="en-GB"/>
            </w:rPr>
          </w:pPr>
          <w:hyperlink w:anchor="_Toc188625282" w:history="1">
            <w:r w:rsidRPr="00022F49">
              <w:rPr>
                <w:rStyle w:val="Hyperlink"/>
                <w:rFonts w:ascii="Aptos" w:hAnsi="Aptos"/>
                <w:noProof/>
              </w:rPr>
              <w:t>OTHER RECRUITMENT</w:t>
            </w:r>
            <w:r>
              <w:rPr>
                <w:noProof/>
                <w:webHidden/>
              </w:rPr>
              <w:tab/>
            </w:r>
            <w:r>
              <w:rPr>
                <w:noProof/>
                <w:webHidden/>
              </w:rPr>
              <w:fldChar w:fldCharType="begin"/>
            </w:r>
            <w:r>
              <w:rPr>
                <w:noProof/>
                <w:webHidden/>
              </w:rPr>
              <w:instrText xml:space="preserve"> PAGEREF _Toc188625282 \h </w:instrText>
            </w:r>
            <w:r>
              <w:rPr>
                <w:noProof/>
                <w:webHidden/>
              </w:rPr>
            </w:r>
            <w:r>
              <w:rPr>
                <w:noProof/>
                <w:webHidden/>
              </w:rPr>
              <w:fldChar w:fldCharType="separate"/>
            </w:r>
            <w:r>
              <w:rPr>
                <w:noProof/>
                <w:webHidden/>
              </w:rPr>
              <w:t>5</w:t>
            </w:r>
            <w:r>
              <w:rPr>
                <w:noProof/>
                <w:webHidden/>
              </w:rPr>
              <w:fldChar w:fldCharType="end"/>
            </w:r>
          </w:hyperlink>
        </w:p>
        <w:p w14:paraId="2B3175B7" w14:textId="14874A2D" w:rsidR="0040681B" w:rsidRDefault="0040681B">
          <w:pPr>
            <w:pStyle w:val="TOC2"/>
            <w:tabs>
              <w:tab w:val="right" w:leader="dot" w:pos="9350"/>
            </w:tabs>
            <w:rPr>
              <w:b w:val="0"/>
              <w:bCs w:val="0"/>
              <w:noProof/>
              <w:lang w:eastAsia="en-GB"/>
            </w:rPr>
          </w:pPr>
          <w:hyperlink w:anchor="_Toc188625283" w:history="1">
            <w:r w:rsidRPr="00022F49">
              <w:rPr>
                <w:rStyle w:val="Hyperlink"/>
                <w:rFonts w:ascii="Aptos" w:hAnsi="Aptos"/>
                <w:noProof/>
              </w:rPr>
              <w:t>DATA MANAGEMENT OBJECTIVES</w:t>
            </w:r>
            <w:r>
              <w:rPr>
                <w:noProof/>
                <w:webHidden/>
              </w:rPr>
              <w:tab/>
            </w:r>
            <w:r>
              <w:rPr>
                <w:noProof/>
                <w:webHidden/>
              </w:rPr>
              <w:fldChar w:fldCharType="begin"/>
            </w:r>
            <w:r>
              <w:rPr>
                <w:noProof/>
                <w:webHidden/>
              </w:rPr>
              <w:instrText xml:space="preserve"> PAGEREF _Toc188625283 \h </w:instrText>
            </w:r>
            <w:r>
              <w:rPr>
                <w:noProof/>
                <w:webHidden/>
              </w:rPr>
            </w:r>
            <w:r>
              <w:rPr>
                <w:noProof/>
                <w:webHidden/>
              </w:rPr>
              <w:fldChar w:fldCharType="separate"/>
            </w:r>
            <w:r>
              <w:rPr>
                <w:noProof/>
                <w:webHidden/>
              </w:rPr>
              <w:t>6</w:t>
            </w:r>
            <w:r>
              <w:rPr>
                <w:noProof/>
                <w:webHidden/>
              </w:rPr>
              <w:fldChar w:fldCharType="end"/>
            </w:r>
          </w:hyperlink>
        </w:p>
        <w:p w14:paraId="237DC0CE" w14:textId="63051A3E" w:rsidR="0040681B" w:rsidRDefault="0040681B">
          <w:pPr>
            <w:pStyle w:val="TOC1"/>
            <w:rPr>
              <w:rFonts w:asciiTheme="minorHAnsi" w:hAnsiTheme="minorHAnsi"/>
              <w:b w:val="0"/>
              <w:bCs w:val="0"/>
              <w:sz w:val="22"/>
              <w:szCs w:val="22"/>
              <w:lang w:eastAsia="en-GB"/>
            </w:rPr>
          </w:pPr>
          <w:hyperlink w:anchor="_Toc188625284" w:history="1">
            <w:r w:rsidRPr="00022F49">
              <w:rPr>
                <w:rStyle w:val="Hyperlink"/>
              </w:rPr>
              <w:t>Background</w:t>
            </w:r>
            <w:r>
              <w:rPr>
                <w:webHidden/>
              </w:rPr>
              <w:tab/>
            </w:r>
            <w:r>
              <w:rPr>
                <w:webHidden/>
              </w:rPr>
              <w:fldChar w:fldCharType="begin"/>
            </w:r>
            <w:r>
              <w:rPr>
                <w:webHidden/>
              </w:rPr>
              <w:instrText xml:space="preserve"> PAGEREF _Toc188625284 \h </w:instrText>
            </w:r>
            <w:r>
              <w:rPr>
                <w:webHidden/>
              </w:rPr>
            </w:r>
            <w:r>
              <w:rPr>
                <w:webHidden/>
              </w:rPr>
              <w:fldChar w:fldCharType="separate"/>
            </w:r>
            <w:r>
              <w:rPr>
                <w:webHidden/>
              </w:rPr>
              <w:t>6</w:t>
            </w:r>
            <w:r>
              <w:rPr>
                <w:webHidden/>
              </w:rPr>
              <w:fldChar w:fldCharType="end"/>
            </w:r>
          </w:hyperlink>
        </w:p>
        <w:p w14:paraId="2A5A51B7" w14:textId="65778DCC" w:rsidR="0040681B" w:rsidRDefault="0040681B">
          <w:pPr>
            <w:pStyle w:val="TOC1"/>
            <w:rPr>
              <w:rFonts w:asciiTheme="minorHAnsi" w:hAnsiTheme="minorHAnsi"/>
              <w:b w:val="0"/>
              <w:bCs w:val="0"/>
              <w:sz w:val="22"/>
              <w:szCs w:val="22"/>
              <w:lang w:eastAsia="en-GB"/>
            </w:rPr>
          </w:pPr>
          <w:hyperlink w:anchor="_Toc188625285" w:history="1">
            <w:r w:rsidRPr="00022F49">
              <w:rPr>
                <w:rStyle w:val="Hyperlink"/>
              </w:rPr>
              <w:t>Study design and implementation</w:t>
            </w:r>
            <w:r>
              <w:rPr>
                <w:webHidden/>
              </w:rPr>
              <w:tab/>
            </w:r>
            <w:r>
              <w:rPr>
                <w:webHidden/>
              </w:rPr>
              <w:fldChar w:fldCharType="begin"/>
            </w:r>
            <w:r>
              <w:rPr>
                <w:webHidden/>
              </w:rPr>
              <w:instrText xml:space="preserve"> PAGEREF _Toc188625285 \h </w:instrText>
            </w:r>
            <w:r>
              <w:rPr>
                <w:webHidden/>
              </w:rPr>
            </w:r>
            <w:r>
              <w:rPr>
                <w:webHidden/>
              </w:rPr>
              <w:fldChar w:fldCharType="separate"/>
            </w:r>
            <w:r>
              <w:rPr>
                <w:webHidden/>
              </w:rPr>
              <w:t>7</w:t>
            </w:r>
            <w:r>
              <w:rPr>
                <w:webHidden/>
              </w:rPr>
              <w:fldChar w:fldCharType="end"/>
            </w:r>
          </w:hyperlink>
        </w:p>
        <w:p w14:paraId="65FD99C4" w14:textId="50DCD440" w:rsidR="0040681B" w:rsidRDefault="0040681B">
          <w:pPr>
            <w:pStyle w:val="TOC2"/>
            <w:tabs>
              <w:tab w:val="right" w:leader="dot" w:pos="9350"/>
            </w:tabs>
            <w:rPr>
              <w:b w:val="0"/>
              <w:bCs w:val="0"/>
              <w:noProof/>
              <w:lang w:eastAsia="en-GB"/>
            </w:rPr>
          </w:pPr>
          <w:hyperlink w:anchor="_Toc188625286" w:history="1">
            <w:r w:rsidRPr="00022F49">
              <w:rPr>
                <w:rStyle w:val="Hyperlink"/>
                <w:rFonts w:ascii="Aptos" w:hAnsi="Aptos"/>
                <w:noProof/>
              </w:rPr>
              <w:t>CLINICAL CONDITIONS (Phenotypes) of interest</w:t>
            </w:r>
            <w:r>
              <w:rPr>
                <w:noProof/>
                <w:webHidden/>
              </w:rPr>
              <w:tab/>
            </w:r>
            <w:r>
              <w:rPr>
                <w:noProof/>
                <w:webHidden/>
              </w:rPr>
              <w:fldChar w:fldCharType="begin"/>
            </w:r>
            <w:r>
              <w:rPr>
                <w:noProof/>
                <w:webHidden/>
              </w:rPr>
              <w:instrText xml:space="preserve"> PAGEREF _Toc188625286 \h </w:instrText>
            </w:r>
            <w:r>
              <w:rPr>
                <w:noProof/>
                <w:webHidden/>
              </w:rPr>
            </w:r>
            <w:r>
              <w:rPr>
                <w:noProof/>
                <w:webHidden/>
              </w:rPr>
              <w:fldChar w:fldCharType="separate"/>
            </w:r>
            <w:r>
              <w:rPr>
                <w:noProof/>
                <w:webHidden/>
              </w:rPr>
              <w:t>7</w:t>
            </w:r>
            <w:r>
              <w:rPr>
                <w:noProof/>
                <w:webHidden/>
              </w:rPr>
              <w:fldChar w:fldCharType="end"/>
            </w:r>
          </w:hyperlink>
        </w:p>
        <w:p w14:paraId="4D00EE90" w14:textId="5D3C27CC" w:rsidR="0040681B" w:rsidRDefault="0040681B">
          <w:pPr>
            <w:pStyle w:val="TOC2"/>
            <w:tabs>
              <w:tab w:val="right" w:leader="dot" w:pos="9350"/>
            </w:tabs>
            <w:rPr>
              <w:b w:val="0"/>
              <w:bCs w:val="0"/>
              <w:noProof/>
              <w:lang w:eastAsia="en-GB"/>
            </w:rPr>
          </w:pPr>
          <w:hyperlink w:anchor="_Toc188625287" w:history="1">
            <w:r w:rsidRPr="00022F49">
              <w:rPr>
                <w:rStyle w:val="Hyperlink"/>
                <w:rFonts w:ascii="Aptos" w:hAnsi="Aptos"/>
                <w:noProof/>
              </w:rPr>
              <w:t>Prospective recruitment</w:t>
            </w:r>
            <w:r>
              <w:rPr>
                <w:noProof/>
                <w:webHidden/>
              </w:rPr>
              <w:tab/>
            </w:r>
            <w:r>
              <w:rPr>
                <w:noProof/>
                <w:webHidden/>
              </w:rPr>
              <w:fldChar w:fldCharType="begin"/>
            </w:r>
            <w:r>
              <w:rPr>
                <w:noProof/>
                <w:webHidden/>
              </w:rPr>
              <w:instrText xml:space="preserve"> PAGEREF _Toc188625287 \h </w:instrText>
            </w:r>
            <w:r>
              <w:rPr>
                <w:noProof/>
                <w:webHidden/>
              </w:rPr>
            </w:r>
            <w:r>
              <w:rPr>
                <w:noProof/>
                <w:webHidden/>
              </w:rPr>
              <w:fldChar w:fldCharType="separate"/>
            </w:r>
            <w:r>
              <w:rPr>
                <w:noProof/>
                <w:webHidden/>
              </w:rPr>
              <w:t>7</w:t>
            </w:r>
            <w:r>
              <w:rPr>
                <w:noProof/>
                <w:webHidden/>
              </w:rPr>
              <w:fldChar w:fldCharType="end"/>
            </w:r>
          </w:hyperlink>
        </w:p>
        <w:p w14:paraId="37CCD58B" w14:textId="4AC2BDC3" w:rsidR="0040681B" w:rsidRDefault="0040681B">
          <w:pPr>
            <w:pStyle w:val="TOC2"/>
            <w:tabs>
              <w:tab w:val="right" w:leader="dot" w:pos="9350"/>
            </w:tabs>
            <w:rPr>
              <w:b w:val="0"/>
              <w:bCs w:val="0"/>
              <w:noProof/>
              <w:lang w:eastAsia="en-GB"/>
            </w:rPr>
          </w:pPr>
          <w:hyperlink w:anchor="_Toc188625288" w:history="1">
            <w:r w:rsidRPr="00022F49">
              <w:rPr>
                <w:rStyle w:val="Hyperlink"/>
                <w:rFonts w:ascii="Aptos" w:hAnsi="Aptos"/>
                <w:noProof/>
              </w:rPr>
              <w:t>LABORATORY SAMPLING</w:t>
            </w:r>
            <w:r>
              <w:rPr>
                <w:noProof/>
                <w:webHidden/>
              </w:rPr>
              <w:tab/>
            </w:r>
            <w:r>
              <w:rPr>
                <w:noProof/>
                <w:webHidden/>
              </w:rPr>
              <w:fldChar w:fldCharType="begin"/>
            </w:r>
            <w:r>
              <w:rPr>
                <w:noProof/>
                <w:webHidden/>
              </w:rPr>
              <w:instrText xml:space="preserve"> PAGEREF _Toc188625288 \h </w:instrText>
            </w:r>
            <w:r>
              <w:rPr>
                <w:noProof/>
                <w:webHidden/>
              </w:rPr>
            </w:r>
            <w:r>
              <w:rPr>
                <w:noProof/>
                <w:webHidden/>
              </w:rPr>
              <w:fldChar w:fldCharType="separate"/>
            </w:r>
            <w:r>
              <w:rPr>
                <w:noProof/>
                <w:webHidden/>
              </w:rPr>
              <w:t>8</w:t>
            </w:r>
            <w:r>
              <w:rPr>
                <w:noProof/>
                <w:webHidden/>
              </w:rPr>
              <w:fldChar w:fldCharType="end"/>
            </w:r>
          </w:hyperlink>
        </w:p>
        <w:p w14:paraId="4828F70F" w14:textId="2B12210D" w:rsidR="0040681B" w:rsidRDefault="0040681B">
          <w:pPr>
            <w:pStyle w:val="TOC2"/>
            <w:tabs>
              <w:tab w:val="right" w:leader="dot" w:pos="9350"/>
            </w:tabs>
            <w:rPr>
              <w:b w:val="0"/>
              <w:bCs w:val="0"/>
              <w:noProof/>
              <w:lang w:eastAsia="en-GB"/>
            </w:rPr>
          </w:pPr>
          <w:hyperlink w:anchor="_Toc188625289" w:history="1">
            <w:r w:rsidRPr="00022F49">
              <w:rPr>
                <w:rStyle w:val="Hyperlink"/>
                <w:rFonts w:ascii="Aptos" w:hAnsi="Aptos"/>
                <w:noProof/>
              </w:rPr>
              <w:t>Recruitment of survivors</w:t>
            </w:r>
            <w:r>
              <w:rPr>
                <w:noProof/>
                <w:webHidden/>
              </w:rPr>
              <w:tab/>
            </w:r>
            <w:r>
              <w:rPr>
                <w:noProof/>
                <w:webHidden/>
              </w:rPr>
              <w:fldChar w:fldCharType="begin"/>
            </w:r>
            <w:r>
              <w:rPr>
                <w:noProof/>
                <w:webHidden/>
              </w:rPr>
              <w:instrText xml:space="preserve"> PAGEREF _Toc188625289 \h </w:instrText>
            </w:r>
            <w:r>
              <w:rPr>
                <w:noProof/>
                <w:webHidden/>
              </w:rPr>
            </w:r>
            <w:r>
              <w:rPr>
                <w:noProof/>
                <w:webHidden/>
              </w:rPr>
              <w:fldChar w:fldCharType="separate"/>
            </w:r>
            <w:r>
              <w:rPr>
                <w:noProof/>
                <w:webHidden/>
              </w:rPr>
              <w:t>8</w:t>
            </w:r>
            <w:r>
              <w:rPr>
                <w:noProof/>
                <w:webHidden/>
              </w:rPr>
              <w:fldChar w:fldCharType="end"/>
            </w:r>
          </w:hyperlink>
        </w:p>
        <w:p w14:paraId="669AD1D0" w14:textId="226C4AEE" w:rsidR="0040681B" w:rsidRDefault="0040681B">
          <w:pPr>
            <w:pStyle w:val="TOC2"/>
            <w:tabs>
              <w:tab w:val="right" w:leader="dot" w:pos="9350"/>
            </w:tabs>
            <w:rPr>
              <w:b w:val="0"/>
              <w:bCs w:val="0"/>
              <w:noProof/>
              <w:lang w:eastAsia="en-GB"/>
            </w:rPr>
          </w:pPr>
          <w:hyperlink w:anchor="_Toc188625290" w:history="1">
            <w:r w:rsidRPr="00022F49">
              <w:rPr>
                <w:rStyle w:val="Hyperlink"/>
                <w:rFonts w:ascii="Aptos" w:hAnsi="Aptos"/>
                <w:noProof/>
              </w:rPr>
              <w:t>Recruitment OF COMPARISON (CONTROL) GROUP</w:t>
            </w:r>
            <w:r>
              <w:rPr>
                <w:noProof/>
                <w:webHidden/>
              </w:rPr>
              <w:tab/>
            </w:r>
            <w:r>
              <w:rPr>
                <w:noProof/>
                <w:webHidden/>
              </w:rPr>
              <w:fldChar w:fldCharType="begin"/>
            </w:r>
            <w:r>
              <w:rPr>
                <w:noProof/>
                <w:webHidden/>
              </w:rPr>
              <w:instrText xml:space="preserve"> PAGEREF _Toc188625290 \h </w:instrText>
            </w:r>
            <w:r>
              <w:rPr>
                <w:noProof/>
                <w:webHidden/>
              </w:rPr>
            </w:r>
            <w:r>
              <w:rPr>
                <w:noProof/>
                <w:webHidden/>
              </w:rPr>
              <w:fldChar w:fldCharType="separate"/>
            </w:r>
            <w:r>
              <w:rPr>
                <w:noProof/>
                <w:webHidden/>
              </w:rPr>
              <w:t>8</w:t>
            </w:r>
            <w:r>
              <w:rPr>
                <w:noProof/>
                <w:webHidden/>
              </w:rPr>
              <w:fldChar w:fldCharType="end"/>
            </w:r>
          </w:hyperlink>
        </w:p>
        <w:p w14:paraId="5C7010D2" w14:textId="0770056D" w:rsidR="0040681B" w:rsidRDefault="0040681B">
          <w:pPr>
            <w:pStyle w:val="TOC2"/>
            <w:tabs>
              <w:tab w:val="right" w:leader="dot" w:pos="9350"/>
            </w:tabs>
            <w:rPr>
              <w:b w:val="0"/>
              <w:bCs w:val="0"/>
              <w:noProof/>
              <w:lang w:eastAsia="en-GB"/>
            </w:rPr>
          </w:pPr>
          <w:hyperlink w:anchor="_Toc188625291" w:history="1">
            <w:r w:rsidRPr="00022F49">
              <w:rPr>
                <w:rStyle w:val="Hyperlink"/>
                <w:rFonts w:ascii="Aptos" w:hAnsi="Aptos"/>
                <w:noProof/>
              </w:rPr>
              <w:t>OBTAINING SAMPLES FROM PARTICIPANTS IN THE COMMUNITY</w:t>
            </w:r>
            <w:r>
              <w:rPr>
                <w:noProof/>
                <w:webHidden/>
              </w:rPr>
              <w:tab/>
            </w:r>
            <w:r>
              <w:rPr>
                <w:noProof/>
                <w:webHidden/>
              </w:rPr>
              <w:fldChar w:fldCharType="begin"/>
            </w:r>
            <w:r>
              <w:rPr>
                <w:noProof/>
                <w:webHidden/>
              </w:rPr>
              <w:instrText xml:space="preserve"> PAGEREF _Toc188625291 \h </w:instrText>
            </w:r>
            <w:r>
              <w:rPr>
                <w:noProof/>
                <w:webHidden/>
              </w:rPr>
            </w:r>
            <w:r>
              <w:rPr>
                <w:noProof/>
                <w:webHidden/>
              </w:rPr>
              <w:fldChar w:fldCharType="separate"/>
            </w:r>
            <w:r>
              <w:rPr>
                <w:noProof/>
                <w:webHidden/>
              </w:rPr>
              <w:t>9</w:t>
            </w:r>
            <w:r>
              <w:rPr>
                <w:noProof/>
                <w:webHidden/>
              </w:rPr>
              <w:fldChar w:fldCharType="end"/>
            </w:r>
          </w:hyperlink>
        </w:p>
        <w:p w14:paraId="52423695" w14:textId="099AABE8" w:rsidR="0040681B" w:rsidRDefault="0040681B">
          <w:pPr>
            <w:pStyle w:val="TOC2"/>
            <w:tabs>
              <w:tab w:val="right" w:leader="dot" w:pos="9350"/>
            </w:tabs>
            <w:rPr>
              <w:b w:val="0"/>
              <w:bCs w:val="0"/>
              <w:noProof/>
              <w:lang w:eastAsia="en-GB"/>
            </w:rPr>
          </w:pPr>
          <w:hyperlink w:anchor="_Toc188625292" w:history="1">
            <w:r w:rsidRPr="00022F49">
              <w:rPr>
                <w:rStyle w:val="Hyperlink"/>
                <w:rFonts w:ascii="Aptos" w:hAnsi="Aptos"/>
                <w:noProof/>
              </w:rPr>
              <w:t>STUDY ELIGIBILITY</w:t>
            </w:r>
            <w:r>
              <w:rPr>
                <w:noProof/>
                <w:webHidden/>
              </w:rPr>
              <w:tab/>
            </w:r>
            <w:r>
              <w:rPr>
                <w:noProof/>
                <w:webHidden/>
              </w:rPr>
              <w:fldChar w:fldCharType="begin"/>
            </w:r>
            <w:r>
              <w:rPr>
                <w:noProof/>
                <w:webHidden/>
              </w:rPr>
              <w:instrText xml:space="preserve"> PAGEREF _Toc188625292 \h </w:instrText>
            </w:r>
            <w:r>
              <w:rPr>
                <w:noProof/>
                <w:webHidden/>
              </w:rPr>
            </w:r>
            <w:r>
              <w:rPr>
                <w:noProof/>
                <w:webHidden/>
              </w:rPr>
              <w:fldChar w:fldCharType="separate"/>
            </w:r>
            <w:r>
              <w:rPr>
                <w:noProof/>
                <w:webHidden/>
              </w:rPr>
              <w:t>9</w:t>
            </w:r>
            <w:r>
              <w:rPr>
                <w:noProof/>
                <w:webHidden/>
              </w:rPr>
              <w:fldChar w:fldCharType="end"/>
            </w:r>
          </w:hyperlink>
        </w:p>
        <w:p w14:paraId="5134DA5A" w14:textId="488B0F1F" w:rsidR="0040681B" w:rsidRDefault="0040681B">
          <w:pPr>
            <w:pStyle w:val="TOC3"/>
            <w:tabs>
              <w:tab w:val="right" w:leader="dot" w:pos="9350"/>
            </w:tabs>
            <w:rPr>
              <w:noProof/>
              <w:sz w:val="22"/>
              <w:szCs w:val="22"/>
              <w:lang w:eastAsia="en-GB"/>
            </w:rPr>
          </w:pPr>
          <w:hyperlink w:anchor="_Toc188625293" w:history="1">
            <w:r w:rsidRPr="00022F49">
              <w:rPr>
                <w:rStyle w:val="Hyperlink"/>
                <w:rFonts w:ascii="Aptos" w:hAnsi="Aptos"/>
                <w:noProof/>
              </w:rPr>
              <w:t>Inclusion criteria</w:t>
            </w:r>
            <w:r>
              <w:rPr>
                <w:noProof/>
                <w:webHidden/>
              </w:rPr>
              <w:tab/>
            </w:r>
            <w:r>
              <w:rPr>
                <w:noProof/>
                <w:webHidden/>
              </w:rPr>
              <w:fldChar w:fldCharType="begin"/>
            </w:r>
            <w:r>
              <w:rPr>
                <w:noProof/>
                <w:webHidden/>
              </w:rPr>
              <w:instrText xml:space="preserve"> PAGEREF _Toc188625293 \h </w:instrText>
            </w:r>
            <w:r>
              <w:rPr>
                <w:noProof/>
                <w:webHidden/>
              </w:rPr>
            </w:r>
            <w:r>
              <w:rPr>
                <w:noProof/>
                <w:webHidden/>
              </w:rPr>
              <w:fldChar w:fldCharType="separate"/>
            </w:r>
            <w:r>
              <w:rPr>
                <w:noProof/>
                <w:webHidden/>
              </w:rPr>
              <w:t>9</w:t>
            </w:r>
            <w:r>
              <w:rPr>
                <w:noProof/>
                <w:webHidden/>
              </w:rPr>
              <w:fldChar w:fldCharType="end"/>
            </w:r>
          </w:hyperlink>
        </w:p>
        <w:p w14:paraId="73A9A1EF" w14:textId="08B078A3" w:rsidR="0040681B" w:rsidRDefault="0040681B">
          <w:pPr>
            <w:pStyle w:val="TOC3"/>
            <w:tabs>
              <w:tab w:val="right" w:leader="dot" w:pos="9350"/>
            </w:tabs>
            <w:rPr>
              <w:noProof/>
              <w:sz w:val="22"/>
              <w:szCs w:val="22"/>
              <w:lang w:eastAsia="en-GB"/>
            </w:rPr>
          </w:pPr>
          <w:hyperlink w:anchor="_Toc188625294" w:history="1">
            <w:r w:rsidRPr="00022F49">
              <w:rPr>
                <w:rStyle w:val="Hyperlink"/>
                <w:rFonts w:ascii="Aptos" w:hAnsi="Aptos"/>
                <w:noProof/>
              </w:rPr>
              <w:t>Emerging Infections AND EXPOSURES</w:t>
            </w:r>
            <w:r>
              <w:rPr>
                <w:noProof/>
                <w:webHidden/>
              </w:rPr>
              <w:tab/>
            </w:r>
            <w:r>
              <w:rPr>
                <w:noProof/>
                <w:webHidden/>
              </w:rPr>
              <w:fldChar w:fldCharType="begin"/>
            </w:r>
            <w:r>
              <w:rPr>
                <w:noProof/>
                <w:webHidden/>
              </w:rPr>
              <w:instrText xml:space="preserve"> PAGEREF _Toc188625294 \h </w:instrText>
            </w:r>
            <w:r>
              <w:rPr>
                <w:noProof/>
                <w:webHidden/>
              </w:rPr>
            </w:r>
            <w:r>
              <w:rPr>
                <w:noProof/>
                <w:webHidden/>
              </w:rPr>
              <w:fldChar w:fldCharType="separate"/>
            </w:r>
            <w:r>
              <w:rPr>
                <w:noProof/>
                <w:webHidden/>
              </w:rPr>
              <w:t>10</w:t>
            </w:r>
            <w:r>
              <w:rPr>
                <w:noProof/>
                <w:webHidden/>
              </w:rPr>
              <w:fldChar w:fldCharType="end"/>
            </w:r>
          </w:hyperlink>
        </w:p>
        <w:p w14:paraId="4DB63599" w14:textId="70A0D403" w:rsidR="0040681B" w:rsidRDefault="0040681B">
          <w:pPr>
            <w:pStyle w:val="TOC3"/>
            <w:tabs>
              <w:tab w:val="right" w:leader="dot" w:pos="9350"/>
            </w:tabs>
            <w:rPr>
              <w:noProof/>
              <w:sz w:val="22"/>
              <w:szCs w:val="22"/>
              <w:lang w:eastAsia="en-GB"/>
            </w:rPr>
          </w:pPr>
          <w:hyperlink w:anchor="_Toc188625295" w:history="1">
            <w:r w:rsidRPr="00022F49">
              <w:rPr>
                <w:rStyle w:val="Hyperlink"/>
                <w:rFonts w:ascii="Aptos" w:hAnsi="Aptos"/>
                <w:noProof/>
              </w:rPr>
              <w:t>Exclusion criteria</w:t>
            </w:r>
            <w:r>
              <w:rPr>
                <w:noProof/>
                <w:webHidden/>
              </w:rPr>
              <w:tab/>
            </w:r>
            <w:r>
              <w:rPr>
                <w:noProof/>
                <w:webHidden/>
              </w:rPr>
              <w:fldChar w:fldCharType="begin"/>
            </w:r>
            <w:r>
              <w:rPr>
                <w:noProof/>
                <w:webHidden/>
              </w:rPr>
              <w:instrText xml:space="preserve"> PAGEREF _Toc188625295 \h </w:instrText>
            </w:r>
            <w:r>
              <w:rPr>
                <w:noProof/>
                <w:webHidden/>
              </w:rPr>
            </w:r>
            <w:r>
              <w:rPr>
                <w:noProof/>
                <w:webHidden/>
              </w:rPr>
              <w:fldChar w:fldCharType="separate"/>
            </w:r>
            <w:r>
              <w:rPr>
                <w:noProof/>
                <w:webHidden/>
              </w:rPr>
              <w:t>11</w:t>
            </w:r>
            <w:r>
              <w:rPr>
                <w:noProof/>
                <w:webHidden/>
              </w:rPr>
              <w:fldChar w:fldCharType="end"/>
            </w:r>
          </w:hyperlink>
        </w:p>
        <w:p w14:paraId="62331E73" w14:textId="5618345E" w:rsidR="0040681B" w:rsidRDefault="0040681B">
          <w:pPr>
            <w:pStyle w:val="TOC3"/>
            <w:tabs>
              <w:tab w:val="right" w:leader="dot" w:pos="9350"/>
            </w:tabs>
            <w:rPr>
              <w:noProof/>
              <w:sz w:val="22"/>
              <w:szCs w:val="22"/>
              <w:lang w:eastAsia="en-GB"/>
            </w:rPr>
          </w:pPr>
          <w:hyperlink w:anchor="_Toc188625296" w:history="1">
            <w:r w:rsidRPr="00022F49">
              <w:rPr>
                <w:rStyle w:val="Hyperlink"/>
                <w:rFonts w:ascii="Aptos" w:hAnsi="Aptos"/>
                <w:noProof/>
              </w:rPr>
              <w:t>NUMBER OF PARTICIPANTS</w:t>
            </w:r>
            <w:r>
              <w:rPr>
                <w:noProof/>
                <w:webHidden/>
              </w:rPr>
              <w:tab/>
            </w:r>
            <w:r>
              <w:rPr>
                <w:noProof/>
                <w:webHidden/>
              </w:rPr>
              <w:fldChar w:fldCharType="begin"/>
            </w:r>
            <w:r>
              <w:rPr>
                <w:noProof/>
                <w:webHidden/>
              </w:rPr>
              <w:instrText xml:space="preserve"> PAGEREF _Toc188625296 \h </w:instrText>
            </w:r>
            <w:r>
              <w:rPr>
                <w:noProof/>
                <w:webHidden/>
              </w:rPr>
            </w:r>
            <w:r>
              <w:rPr>
                <w:noProof/>
                <w:webHidden/>
              </w:rPr>
              <w:fldChar w:fldCharType="separate"/>
            </w:r>
            <w:r>
              <w:rPr>
                <w:noProof/>
                <w:webHidden/>
              </w:rPr>
              <w:t>11</w:t>
            </w:r>
            <w:r>
              <w:rPr>
                <w:noProof/>
                <w:webHidden/>
              </w:rPr>
              <w:fldChar w:fldCharType="end"/>
            </w:r>
          </w:hyperlink>
        </w:p>
        <w:p w14:paraId="5E2402E2" w14:textId="5980FAF1" w:rsidR="0040681B" w:rsidRDefault="0040681B">
          <w:pPr>
            <w:pStyle w:val="TOC3"/>
            <w:tabs>
              <w:tab w:val="right" w:leader="dot" w:pos="9350"/>
            </w:tabs>
            <w:rPr>
              <w:noProof/>
              <w:sz w:val="22"/>
              <w:szCs w:val="22"/>
              <w:lang w:eastAsia="en-GB"/>
            </w:rPr>
          </w:pPr>
          <w:hyperlink w:anchor="_Toc188625297" w:history="1">
            <w:r w:rsidRPr="00022F49">
              <w:rPr>
                <w:rStyle w:val="Hyperlink"/>
                <w:rFonts w:ascii="Aptos" w:hAnsi="Aptos"/>
                <w:noProof/>
              </w:rPr>
              <w:t>Modification of sampling and data collection during the study</w:t>
            </w:r>
            <w:r>
              <w:rPr>
                <w:noProof/>
                <w:webHidden/>
              </w:rPr>
              <w:tab/>
            </w:r>
            <w:r>
              <w:rPr>
                <w:noProof/>
                <w:webHidden/>
              </w:rPr>
              <w:fldChar w:fldCharType="begin"/>
            </w:r>
            <w:r>
              <w:rPr>
                <w:noProof/>
                <w:webHidden/>
              </w:rPr>
              <w:instrText xml:space="preserve"> PAGEREF _Toc188625297 \h </w:instrText>
            </w:r>
            <w:r>
              <w:rPr>
                <w:noProof/>
                <w:webHidden/>
              </w:rPr>
            </w:r>
            <w:r>
              <w:rPr>
                <w:noProof/>
                <w:webHidden/>
              </w:rPr>
              <w:fldChar w:fldCharType="separate"/>
            </w:r>
            <w:r>
              <w:rPr>
                <w:noProof/>
                <w:webHidden/>
              </w:rPr>
              <w:t>11</w:t>
            </w:r>
            <w:r>
              <w:rPr>
                <w:noProof/>
                <w:webHidden/>
              </w:rPr>
              <w:fldChar w:fldCharType="end"/>
            </w:r>
          </w:hyperlink>
        </w:p>
        <w:p w14:paraId="268F8187" w14:textId="31D0C9F4" w:rsidR="0040681B" w:rsidRDefault="0040681B">
          <w:pPr>
            <w:pStyle w:val="TOC3"/>
            <w:tabs>
              <w:tab w:val="right" w:leader="dot" w:pos="9350"/>
            </w:tabs>
            <w:rPr>
              <w:noProof/>
              <w:sz w:val="22"/>
              <w:szCs w:val="22"/>
              <w:lang w:eastAsia="en-GB"/>
            </w:rPr>
          </w:pPr>
          <w:hyperlink w:anchor="_Toc188625298" w:history="1">
            <w:r w:rsidRPr="00022F49">
              <w:rPr>
                <w:rStyle w:val="Hyperlink"/>
                <w:rFonts w:ascii="Aptos" w:hAnsi="Aptos"/>
                <w:noProof/>
              </w:rPr>
              <w:t>Standard of care for PROSPECTIVELY RECRUITED patients</w:t>
            </w:r>
            <w:r>
              <w:rPr>
                <w:noProof/>
                <w:webHidden/>
              </w:rPr>
              <w:tab/>
            </w:r>
            <w:r>
              <w:rPr>
                <w:noProof/>
                <w:webHidden/>
              </w:rPr>
              <w:fldChar w:fldCharType="begin"/>
            </w:r>
            <w:r>
              <w:rPr>
                <w:noProof/>
                <w:webHidden/>
              </w:rPr>
              <w:instrText xml:space="preserve"> PAGEREF _Toc188625298 \h </w:instrText>
            </w:r>
            <w:r>
              <w:rPr>
                <w:noProof/>
                <w:webHidden/>
              </w:rPr>
            </w:r>
            <w:r>
              <w:rPr>
                <w:noProof/>
                <w:webHidden/>
              </w:rPr>
              <w:fldChar w:fldCharType="separate"/>
            </w:r>
            <w:r>
              <w:rPr>
                <w:noProof/>
                <w:webHidden/>
              </w:rPr>
              <w:t>11</w:t>
            </w:r>
            <w:r>
              <w:rPr>
                <w:noProof/>
                <w:webHidden/>
              </w:rPr>
              <w:fldChar w:fldCharType="end"/>
            </w:r>
          </w:hyperlink>
        </w:p>
        <w:p w14:paraId="6A68E152" w14:textId="780B9DC3" w:rsidR="0040681B" w:rsidRDefault="0040681B">
          <w:pPr>
            <w:pStyle w:val="TOC2"/>
            <w:tabs>
              <w:tab w:val="right" w:leader="dot" w:pos="9350"/>
            </w:tabs>
            <w:rPr>
              <w:b w:val="0"/>
              <w:bCs w:val="0"/>
              <w:noProof/>
              <w:lang w:eastAsia="en-GB"/>
            </w:rPr>
          </w:pPr>
          <w:hyperlink w:anchor="_Toc188625299" w:history="1">
            <w:r w:rsidRPr="00022F49">
              <w:rPr>
                <w:rStyle w:val="Hyperlink"/>
                <w:rFonts w:ascii="Aptos" w:hAnsi="Aptos"/>
                <w:noProof/>
              </w:rPr>
              <w:t>Sampling and Data Collection procedures</w:t>
            </w:r>
            <w:r>
              <w:rPr>
                <w:noProof/>
                <w:webHidden/>
              </w:rPr>
              <w:tab/>
            </w:r>
            <w:r>
              <w:rPr>
                <w:noProof/>
                <w:webHidden/>
              </w:rPr>
              <w:fldChar w:fldCharType="begin"/>
            </w:r>
            <w:r>
              <w:rPr>
                <w:noProof/>
                <w:webHidden/>
              </w:rPr>
              <w:instrText xml:space="preserve"> PAGEREF _Toc188625299 \h </w:instrText>
            </w:r>
            <w:r>
              <w:rPr>
                <w:noProof/>
                <w:webHidden/>
              </w:rPr>
            </w:r>
            <w:r>
              <w:rPr>
                <w:noProof/>
                <w:webHidden/>
              </w:rPr>
              <w:fldChar w:fldCharType="separate"/>
            </w:r>
            <w:r>
              <w:rPr>
                <w:noProof/>
                <w:webHidden/>
              </w:rPr>
              <w:t>11</w:t>
            </w:r>
            <w:r>
              <w:rPr>
                <w:noProof/>
                <w:webHidden/>
              </w:rPr>
              <w:fldChar w:fldCharType="end"/>
            </w:r>
          </w:hyperlink>
        </w:p>
        <w:p w14:paraId="5498F95A" w14:textId="7FEB664F" w:rsidR="0040681B" w:rsidRDefault="0040681B">
          <w:pPr>
            <w:pStyle w:val="TOC3"/>
            <w:tabs>
              <w:tab w:val="right" w:leader="dot" w:pos="9350"/>
            </w:tabs>
            <w:rPr>
              <w:noProof/>
              <w:sz w:val="22"/>
              <w:szCs w:val="22"/>
              <w:lang w:eastAsia="en-GB"/>
            </w:rPr>
          </w:pPr>
          <w:hyperlink w:anchor="_Toc188625300" w:history="1">
            <w:r w:rsidRPr="00022F49">
              <w:rPr>
                <w:rStyle w:val="Hyperlink"/>
                <w:rFonts w:ascii="Aptos" w:hAnsi="Aptos"/>
                <w:noProof/>
              </w:rPr>
              <w:t>Sample and Data Collection Schedules</w:t>
            </w:r>
            <w:r>
              <w:rPr>
                <w:noProof/>
                <w:webHidden/>
              </w:rPr>
              <w:tab/>
            </w:r>
            <w:r>
              <w:rPr>
                <w:noProof/>
                <w:webHidden/>
              </w:rPr>
              <w:fldChar w:fldCharType="begin"/>
            </w:r>
            <w:r>
              <w:rPr>
                <w:noProof/>
                <w:webHidden/>
              </w:rPr>
              <w:instrText xml:space="preserve"> PAGEREF _Toc188625300 \h </w:instrText>
            </w:r>
            <w:r>
              <w:rPr>
                <w:noProof/>
                <w:webHidden/>
              </w:rPr>
            </w:r>
            <w:r>
              <w:rPr>
                <w:noProof/>
                <w:webHidden/>
              </w:rPr>
              <w:fldChar w:fldCharType="separate"/>
            </w:r>
            <w:r>
              <w:rPr>
                <w:noProof/>
                <w:webHidden/>
              </w:rPr>
              <w:t>11</w:t>
            </w:r>
            <w:r>
              <w:rPr>
                <w:noProof/>
                <w:webHidden/>
              </w:rPr>
              <w:fldChar w:fldCharType="end"/>
            </w:r>
          </w:hyperlink>
        </w:p>
        <w:p w14:paraId="0BA2E77C" w14:textId="2D5A66A2" w:rsidR="0040681B" w:rsidRDefault="0040681B">
          <w:pPr>
            <w:pStyle w:val="TOC3"/>
            <w:tabs>
              <w:tab w:val="right" w:leader="dot" w:pos="9350"/>
            </w:tabs>
            <w:rPr>
              <w:noProof/>
              <w:sz w:val="22"/>
              <w:szCs w:val="22"/>
              <w:lang w:eastAsia="en-GB"/>
            </w:rPr>
          </w:pPr>
          <w:hyperlink w:anchor="_Toc188625301" w:history="1">
            <w:r w:rsidRPr="00022F49">
              <w:rPr>
                <w:rStyle w:val="Hyperlink"/>
                <w:rFonts w:ascii="Aptos" w:hAnsi="Aptos"/>
                <w:noProof/>
              </w:rPr>
              <w:t>Sample volumes</w:t>
            </w:r>
            <w:r>
              <w:rPr>
                <w:noProof/>
                <w:webHidden/>
              </w:rPr>
              <w:tab/>
            </w:r>
            <w:r>
              <w:rPr>
                <w:noProof/>
                <w:webHidden/>
              </w:rPr>
              <w:fldChar w:fldCharType="begin"/>
            </w:r>
            <w:r>
              <w:rPr>
                <w:noProof/>
                <w:webHidden/>
              </w:rPr>
              <w:instrText xml:space="preserve"> PAGEREF _Toc188625301 \h </w:instrText>
            </w:r>
            <w:r>
              <w:rPr>
                <w:noProof/>
                <w:webHidden/>
              </w:rPr>
            </w:r>
            <w:r>
              <w:rPr>
                <w:noProof/>
                <w:webHidden/>
              </w:rPr>
              <w:fldChar w:fldCharType="separate"/>
            </w:r>
            <w:r>
              <w:rPr>
                <w:noProof/>
                <w:webHidden/>
              </w:rPr>
              <w:t>12</w:t>
            </w:r>
            <w:r>
              <w:rPr>
                <w:noProof/>
                <w:webHidden/>
              </w:rPr>
              <w:fldChar w:fldCharType="end"/>
            </w:r>
          </w:hyperlink>
        </w:p>
        <w:p w14:paraId="03974835" w14:textId="0477B247" w:rsidR="0040681B" w:rsidRDefault="0040681B">
          <w:pPr>
            <w:pStyle w:val="TOC3"/>
            <w:tabs>
              <w:tab w:val="right" w:leader="dot" w:pos="9350"/>
            </w:tabs>
            <w:rPr>
              <w:noProof/>
              <w:sz w:val="22"/>
              <w:szCs w:val="22"/>
              <w:lang w:eastAsia="en-GB"/>
            </w:rPr>
          </w:pPr>
          <w:hyperlink w:anchor="_Toc188625302" w:history="1">
            <w:r w:rsidRPr="00022F49">
              <w:rPr>
                <w:rStyle w:val="Hyperlink"/>
                <w:rFonts w:ascii="Aptos" w:hAnsi="Aptos"/>
                <w:noProof/>
              </w:rPr>
              <w:t xml:space="preserve">SAMPLING PROCEDURES FOR </w:t>
            </w:r>
            <w:r w:rsidRPr="00022F49">
              <w:rPr>
                <w:rStyle w:val="Hyperlink"/>
                <w:rFonts w:ascii="Aptos" w:hAnsi="Aptos"/>
                <w:noProof/>
                <w:highlight w:val="yellow"/>
              </w:rPr>
              <w:t>POPULATION MATCHED</w:t>
            </w:r>
            <w:r w:rsidRPr="00022F49">
              <w:rPr>
                <w:rStyle w:val="Hyperlink"/>
                <w:rFonts w:ascii="Aptos" w:hAnsi="Aptos"/>
                <w:noProof/>
              </w:rPr>
              <w:t xml:space="preserve"> CONTROLS</w:t>
            </w:r>
            <w:r>
              <w:rPr>
                <w:noProof/>
                <w:webHidden/>
              </w:rPr>
              <w:tab/>
            </w:r>
            <w:r>
              <w:rPr>
                <w:noProof/>
                <w:webHidden/>
              </w:rPr>
              <w:fldChar w:fldCharType="begin"/>
            </w:r>
            <w:r>
              <w:rPr>
                <w:noProof/>
                <w:webHidden/>
              </w:rPr>
              <w:instrText xml:space="preserve"> PAGEREF _Toc188625302 \h </w:instrText>
            </w:r>
            <w:r>
              <w:rPr>
                <w:noProof/>
                <w:webHidden/>
              </w:rPr>
            </w:r>
            <w:r>
              <w:rPr>
                <w:noProof/>
                <w:webHidden/>
              </w:rPr>
              <w:fldChar w:fldCharType="separate"/>
            </w:r>
            <w:r>
              <w:rPr>
                <w:noProof/>
                <w:webHidden/>
              </w:rPr>
              <w:t>12</w:t>
            </w:r>
            <w:r>
              <w:rPr>
                <w:noProof/>
                <w:webHidden/>
              </w:rPr>
              <w:fldChar w:fldCharType="end"/>
            </w:r>
          </w:hyperlink>
        </w:p>
        <w:p w14:paraId="5DB9C9A8" w14:textId="1D40B685" w:rsidR="0040681B" w:rsidRDefault="0040681B">
          <w:pPr>
            <w:pStyle w:val="TOC3"/>
            <w:tabs>
              <w:tab w:val="right" w:leader="dot" w:pos="9350"/>
            </w:tabs>
            <w:rPr>
              <w:noProof/>
              <w:sz w:val="22"/>
              <w:szCs w:val="22"/>
              <w:lang w:eastAsia="en-GB"/>
            </w:rPr>
          </w:pPr>
          <w:hyperlink w:anchor="_Toc188625303" w:history="1">
            <w:r w:rsidRPr="00022F49">
              <w:rPr>
                <w:rStyle w:val="Hyperlink"/>
                <w:rFonts w:ascii="Aptos" w:hAnsi="Aptos"/>
                <w:noProof/>
              </w:rPr>
              <w:t>Sample handling</w:t>
            </w:r>
            <w:r>
              <w:rPr>
                <w:noProof/>
                <w:webHidden/>
              </w:rPr>
              <w:tab/>
            </w:r>
            <w:r>
              <w:rPr>
                <w:noProof/>
                <w:webHidden/>
              </w:rPr>
              <w:fldChar w:fldCharType="begin"/>
            </w:r>
            <w:r>
              <w:rPr>
                <w:noProof/>
                <w:webHidden/>
              </w:rPr>
              <w:instrText xml:space="preserve"> PAGEREF _Toc188625303 \h </w:instrText>
            </w:r>
            <w:r>
              <w:rPr>
                <w:noProof/>
                <w:webHidden/>
              </w:rPr>
            </w:r>
            <w:r>
              <w:rPr>
                <w:noProof/>
                <w:webHidden/>
              </w:rPr>
              <w:fldChar w:fldCharType="separate"/>
            </w:r>
            <w:r>
              <w:rPr>
                <w:noProof/>
                <w:webHidden/>
              </w:rPr>
              <w:t>13</w:t>
            </w:r>
            <w:r>
              <w:rPr>
                <w:noProof/>
                <w:webHidden/>
              </w:rPr>
              <w:fldChar w:fldCharType="end"/>
            </w:r>
          </w:hyperlink>
        </w:p>
        <w:p w14:paraId="3B7A18E9" w14:textId="190AB98E" w:rsidR="0040681B" w:rsidRDefault="0040681B">
          <w:pPr>
            <w:pStyle w:val="TOC3"/>
            <w:tabs>
              <w:tab w:val="right" w:leader="dot" w:pos="9350"/>
            </w:tabs>
            <w:rPr>
              <w:noProof/>
              <w:sz w:val="22"/>
              <w:szCs w:val="22"/>
              <w:lang w:eastAsia="en-GB"/>
            </w:rPr>
          </w:pPr>
          <w:hyperlink w:anchor="_Toc188625304" w:history="1">
            <w:r w:rsidRPr="00022F49">
              <w:rPr>
                <w:rStyle w:val="Hyperlink"/>
                <w:rFonts w:ascii="Aptos" w:hAnsi="Aptos"/>
                <w:noProof/>
              </w:rPr>
              <w:t>Potentially hazardous samples</w:t>
            </w:r>
            <w:r>
              <w:rPr>
                <w:noProof/>
                <w:webHidden/>
              </w:rPr>
              <w:tab/>
            </w:r>
            <w:r>
              <w:rPr>
                <w:noProof/>
                <w:webHidden/>
              </w:rPr>
              <w:fldChar w:fldCharType="begin"/>
            </w:r>
            <w:r>
              <w:rPr>
                <w:noProof/>
                <w:webHidden/>
              </w:rPr>
              <w:instrText xml:space="preserve"> PAGEREF _Toc188625304 \h </w:instrText>
            </w:r>
            <w:r>
              <w:rPr>
                <w:noProof/>
                <w:webHidden/>
              </w:rPr>
            </w:r>
            <w:r>
              <w:rPr>
                <w:noProof/>
                <w:webHidden/>
              </w:rPr>
              <w:fldChar w:fldCharType="separate"/>
            </w:r>
            <w:r>
              <w:rPr>
                <w:noProof/>
                <w:webHidden/>
              </w:rPr>
              <w:t>13</w:t>
            </w:r>
            <w:r>
              <w:rPr>
                <w:noProof/>
                <w:webHidden/>
              </w:rPr>
              <w:fldChar w:fldCharType="end"/>
            </w:r>
          </w:hyperlink>
        </w:p>
        <w:p w14:paraId="561A652E" w14:textId="3F3A888C" w:rsidR="0040681B" w:rsidRDefault="0040681B">
          <w:pPr>
            <w:pStyle w:val="TOC3"/>
            <w:tabs>
              <w:tab w:val="right" w:leader="dot" w:pos="9350"/>
            </w:tabs>
            <w:rPr>
              <w:noProof/>
              <w:sz w:val="22"/>
              <w:szCs w:val="22"/>
              <w:lang w:eastAsia="en-GB"/>
            </w:rPr>
          </w:pPr>
          <w:hyperlink w:anchor="_Toc188625305" w:history="1">
            <w:r w:rsidRPr="00022F49">
              <w:rPr>
                <w:rStyle w:val="Hyperlink"/>
                <w:rFonts w:ascii="Aptos" w:hAnsi="Aptos"/>
                <w:noProof/>
              </w:rPr>
              <w:t>Follow up</w:t>
            </w:r>
            <w:r>
              <w:rPr>
                <w:noProof/>
                <w:webHidden/>
              </w:rPr>
              <w:tab/>
            </w:r>
            <w:r>
              <w:rPr>
                <w:noProof/>
                <w:webHidden/>
              </w:rPr>
              <w:fldChar w:fldCharType="begin"/>
            </w:r>
            <w:r>
              <w:rPr>
                <w:noProof/>
                <w:webHidden/>
              </w:rPr>
              <w:instrText xml:space="preserve"> PAGEREF _Toc188625305 \h </w:instrText>
            </w:r>
            <w:r>
              <w:rPr>
                <w:noProof/>
                <w:webHidden/>
              </w:rPr>
            </w:r>
            <w:r>
              <w:rPr>
                <w:noProof/>
                <w:webHidden/>
              </w:rPr>
              <w:fldChar w:fldCharType="separate"/>
            </w:r>
            <w:r>
              <w:rPr>
                <w:noProof/>
                <w:webHidden/>
              </w:rPr>
              <w:t>13</w:t>
            </w:r>
            <w:r>
              <w:rPr>
                <w:noProof/>
                <w:webHidden/>
              </w:rPr>
              <w:fldChar w:fldCharType="end"/>
            </w:r>
          </w:hyperlink>
        </w:p>
        <w:p w14:paraId="4DA87AF0" w14:textId="67129D1B" w:rsidR="0040681B" w:rsidRDefault="0040681B">
          <w:pPr>
            <w:pStyle w:val="TOC3"/>
            <w:tabs>
              <w:tab w:val="right" w:leader="dot" w:pos="9350"/>
            </w:tabs>
            <w:rPr>
              <w:noProof/>
              <w:sz w:val="22"/>
              <w:szCs w:val="22"/>
              <w:lang w:eastAsia="en-GB"/>
            </w:rPr>
          </w:pPr>
          <w:hyperlink w:anchor="_Toc188625306" w:history="1">
            <w:r w:rsidRPr="00022F49">
              <w:rPr>
                <w:rStyle w:val="Hyperlink"/>
                <w:rFonts w:ascii="Aptos" w:hAnsi="Aptos"/>
                <w:noProof/>
              </w:rPr>
              <w:t>Outcome measures</w:t>
            </w:r>
            <w:r>
              <w:rPr>
                <w:noProof/>
                <w:webHidden/>
              </w:rPr>
              <w:tab/>
            </w:r>
            <w:r>
              <w:rPr>
                <w:noProof/>
                <w:webHidden/>
              </w:rPr>
              <w:fldChar w:fldCharType="begin"/>
            </w:r>
            <w:r>
              <w:rPr>
                <w:noProof/>
                <w:webHidden/>
              </w:rPr>
              <w:instrText xml:space="preserve"> PAGEREF _Toc188625306 \h </w:instrText>
            </w:r>
            <w:r>
              <w:rPr>
                <w:noProof/>
                <w:webHidden/>
              </w:rPr>
            </w:r>
            <w:r>
              <w:rPr>
                <w:noProof/>
                <w:webHidden/>
              </w:rPr>
              <w:fldChar w:fldCharType="separate"/>
            </w:r>
            <w:r>
              <w:rPr>
                <w:noProof/>
                <w:webHidden/>
              </w:rPr>
              <w:t>14</w:t>
            </w:r>
            <w:r>
              <w:rPr>
                <w:noProof/>
                <w:webHidden/>
              </w:rPr>
              <w:fldChar w:fldCharType="end"/>
            </w:r>
          </w:hyperlink>
        </w:p>
        <w:p w14:paraId="5381323C" w14:textId="015438BE" w:rsidR="0040681B" w:rsidRDefault="0040681B">
          <w:pPr>
            <w:pStyle w:val="TOC2"/>
            <w:tabs>
              <w:tab w:val="right" w:leader="dot" w:pos="9350"/>
            </w:tabs>
            <w:rPr>
              <w:b w:val="0"/>
              <w:bCs w:val="0"/>
              <w:noProof/>
              <w:lang w:eastAsia="en-GB"/>
            </w:rPr>
          </w:pPr>
          <w:hyperlink w:anchor="_Toc188625307" w:history="1">
            <w:r w:rsidRPr="00022F49">
              <w:rPr>
                <w:rStyle w:val="Hyperlink"/>
                <w:rFonts w:ascii="Aptos" w:hAnsi="Aptos"/>
                <w:noProof/>
              </w:rPr>
              <w:t>Enrolment Procedures</w:t>
            </w:r>
            <w:r>
              <w:rPr>
                <w:noProof/>
                <w:webHidden/>
              </w:rPr>
              <w:tab/>
            </w:r>
            <w:r>
              <w:rPr>
                <w:noProof/>
                <w:webHidden/>
              </w:rPr>
              <w:fldChar w:fldCharType="begin"/>
            </w:r>
            <w:r>
              <w:rPr>
                <w:noProof/>
                <w:webHidden/>
              </w:rPr>
              <w:instrText xml:space="preserve"> PAGEREF _Toc188625307 \h </w:instrText>
            </w:r>
            <w:r>
              <w:rPr>
                <w:noProof/>
                <w:webHidden/>
              </w:rPr>
            </w:r>
            <w:r>
              <w:rPr>
                <w:noProof/>
                <w:webHidden/>
              </w:rPr>
              <w:fldChar w:fldCharType="separate"/>
            </w:r>
            <w:r>
              <w:rPr>
                <w:noProof/>
                <w:webHidden/>
              </w:rPr>
              <w:t>14</w:t>
            </w:r>
            <w:r>
              <w:rPr>
                <w:noProof/>
                <w:webHidden/>
              </w:rPr>
              <w:fldChar w:fldCharType="end"/>
            </w:r>
          </w:hyperlink>
        </w:p>
        <w:p w14:paraId="1E711AF7" w14:textId="719A44C7" w:rsidR="0040681B" w:rsidRDefault="0040681B">
          <w:pPr>
            <w:pStyle w:val="TOC3"/>
            <w:tabs>
              <w:tab w:val="right" w:leader="dot" w:pos="9350"/>
            </w:tabs>
            <w:rPr>
              <w:noProof/>
              <w:sz w:val="22"/>
              <w:szCs w:val="22"/>
              <w:lang w:eastAsia="en-GB"/>
            </w:rPr>
          </w:pPr>
          <w:hyperlink w:anchor="_Toc188625308" w:history="1">
            <w:r w:rsidRPr="00022F49">
              <w:rPr>
                <w:rStyle w:val="Hyperlink"/>
                <w:rFonts w:ascii="Aptos" w:hAnsi="Aptos"/>
                <w:noProof/>
              </w:rPr>
              <w:t>Enrolment procedures for PROSPECTIVELY RECRUITED patients</w:t>
            </w:r>
            <w:r>
              <w:rPr>
                <w:noProof/>
                <w:webHidden/>
              </w:rPr>
              <w:tab/>
            </w:r>
            <w:r>
              <w:rPr>
                <w:noProof/>
                <w:webHidden/>
              </w:rPr>
              <w:fldChar w:fldCharType="begin"/>
            </w:r>
            <w:r>
              <w:rPr>
                <w:noProof/>
                <w:webHidden/>
              </w:rPr>
              <w:instrText xml:space="preserve"> PAGEREF _Toc188625308 \h </w:instrText>
            </w:r>
            <w:r>
              <w:rPr>
                <w:noProof/>
                <w:webHidden/>
              </w:rPr>
            </w:r>
            <w:r>
              <w:rPr>
                <w:noProof/>
                <w:webHidden/>
              </w:rPr>
              <w:fldChar w:fldCharType="separate"/>
            </w:r>
            <w:r>
              <w:rPr>
                <w:noProof/>
                <w:webHidden/>
              </w:rPr>
              <w:t>14</w:t>
            </w:r>
            <w:r>
              <w:rPr>
                <w:noProof/>
                <w:webHidden/>
              </w:rPr>
              <w:fldChar w:fldCharType="end"/>
            </w:r>
          </w:hyperlink>
        </w:p>
        <w:p w14:paraId="7424302C" w14:textId="37E56802" w:rsidR="0040681B" w:rsidRDefault="0040681B">
          <w:pPr>
            <w:pStyle w:val="TOC3"/>
            <w:tabs>
              <w:tab w:val="right" w:leader="dot" w:pos="9350"/>
            </w:tabs>
            <w:rPr>
              <w:noProof/>
              <w:sz w:val="22"/>
              <w:szCs w:val="22"/>
              <w:lang w:eastAsia="en-GB"/>
            </w:rPr>
          </w:pPr>
          <w:hyperlink w:anchor="_Toc188625309" w:history="1">
            <w:r w:rsidRPr="00022F49">
              <w:rPr>
                <w:rStyle w:val="Hyperlink"/>
                <w:rFonts w:ascii="Aptos" w:hAnsi="Aptos"/>
                <w:noProof/>
              </w:rPr>
              <w:t>procedures for CONSENTING PATIENTS WITH REGAINED CAPACITY</w:t>
            </w:r>
            <w:r>
              <w:rPr>
                <w:noProof/>
                <w:webHidden/>
              </w:rPr>
              <w:tab/>
            </w:r>
            <w:r>
              <w:rPr>
                <w:noProof/>
                <w:webHidden/>
              </w:rPr>
              <w:fldChar w:fldCharType="begin"/>
            </w:r>
            <w:r>
              <w:rPr>
                <w:noProof/>
                <w:webHidden/>
              </w:rPr>
              <w:instrText xml:space="preserve"> PAGEREF _Toc188625309 \h </w:instrText>
            </w:r>
            <w:r>
              <w:rPr>
                <w:noProof/>
                <w:webHidden/>
              </w:rPr>
            </w:r>
            <w:r>
              <w:rPr>
                <w:noProof/>
                <w:webHidden/>
              </w:rPr>
              <w:fldChar w:fldCharType="separate"/>
            </w:r>
            <w:r>
              <w:rPr>
                <w:noProof/>
                <w:webHidden/>
              </w:rPr>
              <w:t>15</w:t>
            </w:r>
            <w:r>
              <w:rPr>
                <w:noProof/>
                <w:webHidden/>
              </w:rPr>
              <w:fldChar w:fldCharType="end"/>
            </w:r>
          </w:hyperlink>
        </w:p>
        <w:p w14:paraId="2B58FBE6" w14:textId="2220F8DC" w:rsidR="0040681B" w:rsidRDefault="0040681B">
          <w:pPr>
            <w:pStyle w:val="TOC3"/>
            <w:tabs>
              <w:tab w:val="right" w:leader="dot" w:pos="9350"/>
            </w:tabs>
            <w:rPr>
              <w:noProof/>
              <w:sz w:val="22"/>
              <w:szCs w:val="22"/>
              <w:lang w:eastAsia="en-GB"/>
            </w:rPr>
          </w:pPr>
          <w:hyperlink w:anchor="_Toc188625310" w:history="1">
            <w:r w:rsidRPr="00022F49">
              <w:rPr>
                <w:rStyle w:val="Hyperlink"/>
                <w:rFonts w:ascii="Aptos" w:hAnsi="Aptos"/>
                <w:noProof/>
              </w:rPr>
              <w:t>Attempts to re-consent following discharge</w:t>
            </w:r>
            <w:r>
              <w:rPr>
                <w:noProof/>
                <w:webHidden/>
              </w:rPr>
              <w:tab/>
            </w:r>
            <w:r>
              <w:rPr>
                <w:noProof/>
                <w:webHidden/>
              </w:rPr>
              <w:fldChar w:fldCharType="begin"/>
            </w:r>
            <w:r>
              <w:rPr>
                <w:noProof/>
                <w:webHidden/>
              </w:rPr>
              <w:instrText xml:space="preserve"> PAGEREF _Toc188625310 \h </w:instrText>
            </w:r>
            <w:r>
              <w:rPr>
                <w:noProof/>
                <w:webHidden/>
              </w:rPr>
            </w:r>
            <w:r>
              <w:rPr>
                <w:noProof/>
                <w:webHidden/>
              </w:rPr>
              <w:fldChar w:fldCharType="separate"/>
            </w:r>
            <w:r>
              <w:rPr>
                <w:noProof/>
                <w:webHidden/>
              </w:rPr>
              <w:t>15</w:t>
            </w:r>
            <w:r>
              <w:rPr>
                <w:noProof/>
                <w:webHidden/>
              </w:rPr>
              <w:fldChar w:fldCharType="end"/>
            </w:r>
          </w:hyperlink>
        </w:p>
        <w:p w14:paraId="0FC48066" w14:textId="22DC08A7" w:rsidR="0040681B" w:rsidRDefault="0040681B">
          <w:pPr>
            <w:pStyle w:val="TOC3"/>
            <w:tabs>
              <w:tab w:val="right" w:leader="dot" w:pos="9350"/>
            </w:tabs>
            <w:rPr>
              <w:noProof/>
              <w:sz w:val="22"/>
              <w:szCs w:val="22"/>
              <w:lang w:eastAsia="en-GB"/>
            </w:rPr>
          </w:pPr>
          <w:hyperlink w:anchor="_Toc188625311" w:history="1">
            <w:r w:rsidRPr="00022F49">
              <w:rPr>
                <w:rStyle w:val="Hyperlink"/>
                <w:rFonts w:ascii="Aptos" w:hAnsi="Aptos"/>
                <w:noProof/>
              </w:rPr>
              <w:t>CAPACITY ASSESSMENTS</w:t>
            </w:r>
            <w:r>
              <w:rPr>
                <w:noProof/>
                <w:webHidden/>
              </w:rPr>
              <w:tab/>
            </w:r>
            <w:r>
              <w:rPr>
                <w:noProof/>
                <w:webHidden/>
              </w:rPr>
              <w:fldChar w:fldCharType="begin"/>
            </w:r>
            <w:r>
              <w:rPr>
                <w:noProof/>
                <w:webHidden/>
              </w:rPr>
              <w:instrText xml:space="preserve"> PAGEREF _Toc188625311 \h </w:instrText>
            </w:r>
            <w:r>
              <w:rPr>
                <w:noProof/>
                <w:webHidden/>
              </w:rPr>
            </w:r>
            <w:r>
              <w:rPr>
                <w:noProof/>
                <w:webHidden/>
              </w:rPr>
              <w:fldChar w:fldCharType="separate"/>
            </w:r>
            <w:r>
              <w:rPr>
                <w:noProof/>
                <w:webHidden/>
              </w:rPr>
              <w:t>16</w:t>
            </w:r>
            <w:r>
              <w:rPr>
                <w:noProof/>
                <w:webHidden/>
              </w:rPr>
              <w:fldChar w:fldCharType="end"/>
            </w:r>
          </w:hyperlink>
        </w:p>
        <w:p w14:paraId="007E745E" w14:textId="6BD61C7E" w:rsidR="0040681B" w:rsidRDefault="0040681B">
          <w:pPr>
            <w:pStyle w:val="TOC3"/>
            <w:tabs>
              <w:tab w:val="right" w:leader="dot" w:pos="9350"/>
            </w:tabs>
            <w:rPr>
              <w:noProof/>
              <w:sz w:val="22"/>
              <w:szCs w:val="22"/>
              <w:lang w:eastAsia="en-GB"/>
            </w:rPr>
          </w:pPr>
          <w:hyperlink w:anchor="_Toc188625312" w:history="1">
            <w:r w:rsidRPr="00022F49">
              <w:rPr>
                <w:rStyle w:val="Hyperlink"/>
                <w:rFonts w:ascii="Aptos" w:hAnsi="Aptos"/>
                <w:noProof/>
              </w:rPr>
              <w:t>Procedures for initial approach to consent and sample eligible participants</w:t>
            </w:r>
            <w:r>
              <w:rPr>
                <w:noProof/>
                <w:webHidden/>
              </w:rPr>
              <w:tab/>
            </w:r>
            <w:r>
              <w:rPr>
                <w:noProof/>
                <w:webHidden/>
              </w:rPr>
              <w:fldChar w:fldCharType="begin"/>
            </w:r>
            <w:r>
              <w:rPr>
                <w:noProof/>
                <w:webHidden/>
              </w:rPr>
              <w:instrText xml:space="preserve"> PAGEREF _Toc188625312 \h </w:instrText>
            </w:r>
            <w:r>
              <w:rPr>
                <w:noProof/>
                <w:webHidden/>
              </w:rPr>
            </w:r>
            <w:r>
              <w:rPr>
                <w:noProof/>
                <w:webHidden/>
              </w:rPr>
              <w:fldChar w:fldCharType="separate"/>
            </w:r>
            <w:r>
              <w:rPr>
                <w:noProof/>
                <w:webHidden/>
              </w:rPr>
              <w:t>16</w:t>
            </w:r>
            <w:r>
              <w:rPr>
                <w:noProof/>
                <w:webHidden/>
              </w:rPr>
              <w:fldChar w:fldCharType="end"/>
            </w:r>
          </w:hyperlink>
        </w:p>
        <w:p w14:paraId="0E42ED2E" w14:textId="7EB05509" w:rsidR="0040681B" w:rsidRDefault="0040681B">
          <w:pPr>
            <w:pStyle w:val="TOC3"/>
            <w:tabs>
              <w:tab w:val="right" w:leader="dot" w:pos="9350"/>
            </w:tabs>
            <w:rPr>
              <w:noProof/>
              <w:sz w:val="22"/>
              <w:szCs w:val="22"/>
              <w:lang w:eastAsia="en-GB"/>
            </w:rPr>
          </w:pPr>
          <w:hyperlink w:anchor="_Toc188625313" w:history="1">
            <w:r w:rsidRPr="00022F49">
              <w:rPr>
                <w:rStyle w:val="Hyperlink"/>
                <w:rFonts w:ascii="Aptos" w:hAnsi="Aptos"/>
                <w:noProof/>
              </w:rPr>
              <w:t>ENrolment procedures for patients after death</w:t>
            </w:r>
            <w:r>
              <w:rPr>
                <w:noProof/>
                <w:webHidden/>
              </w:rPr>
              <w:tab/>
            </w:r>
            <w:r>
              <w:rPr>
                <w:noProof/>
                <w:webHidden/>
              </w:rPr>
              <w:fldChar w:fldCharType="begin"/>
            </w:r>
            <w:r>
              <w:rPr>
                <w:noProof/>
                <w:webHidden/>
              </w:rPr>
              <w:instrText xml:space="preserve"> PAGEREF _Toc188625313 \h </w:instrText>
            </w:r>
            <w:r>
              <w:rPr>
                <w:noProof/>
                <w:webHidden/>
              </w:rPr>
            </w:r>
            <w:r>
              <w:rPr>
                <w:noProof/>
                <w:webHidden/>
              </w:rPr>
              <w:fldChar w:fldCharType="separate"/>
            </w:r>
            <w:r>
              <w:rPr>
                <w:noProof/>
                <w:webHidden/>
              </w:rPr>
              <w:t>17</w:t>
            </w:r>
            <w:r>
              <w:rPr>
                <w:noProof/>
                <w:webHidden/>
              </w:rPr>
              <w:fldChar w:fldCharType="end"/>
            </w:r>
          </w:hyperlink>
        </w:p>
        <w:p w14:paraId="3891A593" w14:textId="761D7613" w:rsidR="0040681B" w:rsidRDefault="0040681B">
          <w:pPr>
            <w:pStyle w:val="TOC3"/>
            <w:tabs>
              <w:tab w:val="right" w:leader="dot" w:pos="9350"/>
            </w:tabs>
            <w:rPr>
              <w:noProof/>
              <w:sz w:val="22"/>
              <w:szCs w:val="22"/>
              <w:lang w:eastAsia="en-GB"/>
            </w:rPr>
          </w:pPr>
          <w:hyperlink w:anchor="_Toc188625314" w:history="1">
            <w:r w:rsidRPr="00022F49">
              <w:rPr>
                <w:rStyle w:val="Hyperlink"/>
                <w:rFonts w:ascii="Aptos" w:hAnsi="Aptos"/>
                <w:noProof/>
              </w:rPr>
              <w:t>Enrolment procedures for RETROSPECTIVELY RECRUITED patients</w:t>
            </w:r>
            <w:r>
              <w:rPr>
                <w:noProof/>
                <w:webHidden/>
              </w:rPr>
              <w:tab/>
            </w:r>
            <w:r>
              <w:rPr>
                <w:noProof/>
                <w:webHidden/>
              </w:rPr>
              <w:fldChar w:fldCharType="begin"/>
            </w:r>
            <w:r>
              <w:rPr>
                <w:noProof/>
                <w:webHidden/>
              </w:rPr>
              <w:instrText xml:space="preserve"> PAGEREF _Toc188625314 \h </w:instrText>
            </w:r>
            <w:r>
              <w:rPr>
                <w:noProof/>
                <w:webHidden/>
              </w:rPr>
            </w:r>
            <w:r>
              <w:rPr>
                <w:noProof/>
                <w:webHidden/>
              </w:rPr>
              <w:fldChar w:fldCharType="separate"/>
            </w:r>
            <w:r>
              <w:rPr>
                <w:noProof/>
                <w:webHidden/>
              </w:rPr>
              <w:t>17</w:t>
            </w:r>
            <w:r>
              <w:rPr>
                <w:noProof/>
                <w:webHidden/>
              </w:rPr>
              <w:fldChar w:fldCharType="end"/>
            </w:r>
          </w:hyperlink>
        </w:p>
        <w:p w14:paraId="4689CFA8" w14:textId="7695B366" w:rsidR="0040681B" w:rsidRDefault="0040681B">
          <w:pPr>
            <w:pStyle w:val="TOC3"/>
            <w:tabs>
              <w:tab w:val="right" w:leader="dot" w:pos="9350"/>
            </w:tabs>
            <w:rPr>
              <w:noProof/>
              <w:sz w:val="22"/>
              <w:szCs w:val="22"/>
              <w:lang w:eastAsia="en-GB"/>
            </w:rPr>
          </w:pPr>
          <w:hyperlink w:anchor="_Toc188625315" w:history="1">
            <w:r w:rsidRPr="00022F49">
              <w:rPr>
                <w:rStyle w:val="Hyperlink"/>
                <w:rFonts w:ascii="Aptos" w:hAnsi="Aptos"/>
                <w:noProof/>
              </w:rPr>
              <w:t>Enrolment procedures for volunteers from the community</w:t>
            </w:r>
            <w:r>
              <w:rPr>
                <w:noProof/>
                <w:webHidden/>
              </w:rPr>
              <w:tab/>
            </w:r>
            <w:r>
              <w:rPr>
                <w:noProof/>
                <w:webHidden/>
              </w:rPr>
              <w:fldChar w:fldCharType="begin"/>
            </w:r>
            <w:r>
              <w:rPr>
                <w:noProof/>
                <w:webHidden/>
              </w:rPr>
              <w:instrText xml:space="preserve"> PAGEREF _Toc188625315 \h </w:instrText>
            </w:r>
            <w:r>
              <w:rPr>
                <w:noProof/>
                <w:webHidden/>
              </w:rPr>
            </w:r>
            <w:r>
              <w:rPr>
                <w:noProof/>
                <w:webHidden/>
              </w:rPr>
              <w:fldChar w:fldCharType="separate"/>
            </w:r>
            <w:r>
              <w:rPr>
                <w:noProof/>
                <w:webHidden/>
              </w:rPr>
              <w:t>18</w:t>
            </w:r>
            <w:r>
              <w:rPr>
                <w:noProof/>
                <w:webHidden/>
              </w:rPr>
              <w:fldChar w:fldCharType="end"/>
            </w:r>
          </w:hyperlink>
        </w:p>
        <w:p w14:paraId="2FF03AB2" w14:textId="069CBAC4" w:rsidR="0040681B" w:rsidRDefault="0040681B">
          <w:pPr>
            <w:pStyle w:val="TOC2"/>
            <w:tabs>
              <w:tab w:val="right" w:leader="dot" w:pos="9350"/>
            </w:tabs>
            <w:rPr>
              <w:b w:val="0"/>
              <w:bCs w:val="0"/>
              <w:noProof/>
              <w:lang w:eastAsia="en-GB"/>
            </w:rPr>
          </w:pPr>
          <w:hyperlink w:anchor="_Toc188625316" w:history="1">
            <w:r w:rsidRPr="00022F49">
              <w:rPr>
                <w:rStyle w:val="Hyperlink"/>
                <w:rFonts w:ascii="Aptos" w:hAnsi="Aptos"/>
                <w:noProof/>
              </w:rPr>
              <w:t>Withdrawal from the study</w:t>
            </w:r>
            <w:r>
              <w:rPr>
                <w:noProof/>
                <w:webHidden/>
              </w:rPr>
              <w:tab/>
            </w:r>
            <w:r>
              <w:rPr>
                <w:noProof/>
                <w:webHidden/>
              </w:rPr>
              <w:fldChar w:fldCharType="begin"/>
            </w:r>
            <w:r>
              <w:rPr>
                <w:noProof/>
                <w:webHidden/>
              </w:rPr>
              <w:instrText xml:space="preserve"> PAGEREF _Toc188625316 \h </w:instrText>
            </w:r>
            <w:r>
              <w:rPr>
                <w:noProof/>
                <w:webHidden/>
              </w:rPr>
            </w:r>
            <w:r>
              <w:rPr>
                <w:noProof/>
                <w:webHidden/>
              </w:rPr>
              <w:fldChar w:fldCharType="separate"/>
            </w:r>
            <w:r>
              <w:rPr>
                <w:noProof/>
                <w:webHidden/>
              </w:rPr>
              <w:t>18</w:t>
            </w:r>
            <w:r>
              <w:rPr>
                <w:noProof/>
                <w:webHidden/>
              </w:rPr>
              <w:fldChar w:fldCharType="end"/>
            </w:r>
          </w:hyperlink>
        </w:p>
        <w:p w14:paraId="2E089043" w14:textId="49CF40C9" w:rsidR="0040681B" w:rsidRDefault="0040681B">
          <w:pPr>
            <w:pStyle w:val="TOC2"/>
            <w:tabs>
              <w:tab w:val="right" w:leader="dot" w:pos="9350"/>
            </w:tabs>
            <w:rPr>
              <w:b w:val="0"/>
              <w:bCs w:val="0"/>
              <w:noProof/>
              <w:lang w:eastAsia="en-GB"/>
            </w:rPr>
          </w:pPr>
          <w:hyperlink w:anchor="_Toc188625317" w:history="1">
            <w:r w:rsidRPr="00022F49">
              <w:rPr>
                <w:rStyle w:val="Hyperlink"/>
                <w:rFonts w:ascii="Aptos" w:hAnsi="Aptos"/>
                <w:noProof/>
              </w:rPr>
              <w:t>Statistical analysis</w:t>
            </w:r>
            <w:r>
              <w:rPr>
                <w:noProof/>
                <w:webHidden/>
              </w:rPr>
              <w:tab/>
            </w:r>
            <w:r>
              <w:rPr>
                <w:noProof/>
                <w:webHidden/>
              </w:rPr>
              <w:fldChar w:fldCharType="begin"/>
            </w:r>
            <w:r>
              <w:rPr>
                <w:noProof/>
                <w:webHidden/>
              </w:rPr>
              <w:instrText xml:space="preserve"> PAGEREF _Toc188625317 \h </w:instrText>
            </w:r>
            <w:r>
              <w:rPr>
                <w:noProof/>
                <w:webHidden/>
              </w:rPr>
            </w:r>
            <w:r>
              <w:rPr>
                <w:noProof/>
                <w:webHidden/>
              </w:rPr>
              <w:fldChar w:fldCharType="separate"/>
            </w:r>
            <w:r>
              <w:rPr>
                <w:noProof/>
                <w:webHidden/>
              </w:rPr>
              <w:t>19</w:t>
            </w:r>
            <w:r>
              <w:rPr>
                <w:noProof/>
                <w:webHidden/>
              </w:rPr>
              <w:fldChar w:fldCharType="end"/>
            </w:r>
          </w:hyperlink>
        </w:p>
        <w:p w14:paraId="19932CC3" w14:textId="617A00FD" w:rsidR="0040681B" w:rsidRDefault="0040681B">
          <w:pPr>
            <w:pStyle w:val="TOC1"/>
            <w:rPr>
              <w:rFonts w:asciiTheme="minorHAnsi" w:hAnsiTheme="minorHAnsi"/>
              <w:b w:val="0"/>
              <w:bCs w:val="0"/>
              <w:sz w:val="22"/>
              <w:szCs w:val="22"/>
              <w:lang w:eastAsia="en-GB"/>
            </w:rPr>
          </w:pPr>
          <w:hyperlink w:anchor="_Toc188625318" w:history="1">
            <w:r w:rsidRPr="00022F49">
              <w:rPr>
                <w:rStyle w:val="Hyperlink"/>
              </w:rPr>
              <w:t>Study management</w:t>
            </w:r>
            <w:r>
              <w:rPr>
                <w:webHidden/>
              </w:rPr>
              <w:tab/>
            </w:r>
            <w:r>
              <w:rPr>
                <w:webHidden/>
              </w:rPr>
              <w:fldChar w:fldCharType="begin"/>
            </w:r>
            <w:r>
              <w:rPr>
                <w:webHidden/>
              </w:rPr>
              <w:instrText xml:space="preserve"> PAGEREF _Toc188625318 \h </w:instrText>
            </w:r>
            <w:r>
              <w:rPr>
                <w:webHidden/>
              </w:rPr>
            </w:r>
            <w:r>
              <w:rPr>
                <w:webHidden/>
              </w:rPr>
              <w:fldChar w:fldCharType="separate"/>
            </w:r>
            <w:r>
              <w:rPr>
                <w:webHidden/>
              </w:rPr>
              <w:t>19</w:t>
            </w:r>
            <w:r>
              <w:rPr>
                <w:webHidden/>
              </w:rPr>
              <w:fldChar w:fldCharType="end"/>
            </w:r>
          </w:hyperlink>
        </w:p>
        <w:p w14:paraId="3E290730" w14:textId="41386FE3" w:rsidR="0040681B" w:rsidRDefault="0040681B">
          <w:pPr>
            <w:pStyle w:val="TOC2"/>
            <w:tabs>
              <w:tab w:val="right" w:leader="dot" w:pos="9350"/>
            </w:tabs>
            <w:rPr>
              <w:b w:val="0"/>
              <w:bCs w:val="0"/>
              <w:noProof/>
              <w:lang w:eastAsia="en-GB"/>
            </w:rPr>
          </w:pPr>
          <w:hyperlink w:anchor="_Toc188625319" w:history="1">
            <w:r w:rsidRPr="00022F49">
              <w:rPr>
                <w:rStyle w:val="Hyperlink"/>
                <w:rFonts w:ascii="Aptos" w:hAnsi="Aptos"/>
                <w:noProof/>
              </w:rPr>
              <w:t>Data collection</w:t>
            </w:r>
            <w:r>
              <w:rPr>
                <w:noProof/>
                <w:webHidden/>
              </w:rPr>
              <w:tab/>
            </w:r>
            <w:r>
              <w:rPr>
                <w:noProof/>
                <w:webHidden/>
              </w:rPr>
              <w:fldChar w:fldCharType="begin"/>
            </w:r>
            <w:r>
              <w:rPr>
                <w:noProof/>
                <w:webHidden/>
              </w:rPr>
              <w:instrText xml:space="preserve"> PAGEREF _Toc188625319 \h </w:instrText>
            </w:r>
            <w:r>
              <w:rPr>
                <w:noProof/>
                <w:webHidden/>
              </w:rPr>
            </w:r>
            <w:r>
              <w:rPr>
                <w:noProof/>
                <w:webHidden/>
              </w:rPr>
              <w:fldChar w:fldCharType="separate"/>
            </w:r>
            <w:r>
              <w:rPr>
                <w:noProof/>
                <w:webHidden/>
              </w:rPr>
              <w:t>19</w:t>
            </w:r>
            <w:r>
              <w:rPr>
                <w:noProof/>
                <w:webHidden/>
              </w:rPr>
              <w:fldChar w:fldCharType="end"/>
            </w:r>
          </w:hyperlink>
        </w:p>
        <w:p w14:paraId="470587D1" w14:textId="3057F85F" w:rsidR="0040681B" w:rsidRDefault="0040681B">
          <w:pPr>
            <w:pStyle w:val="TOC2"/>
            <w:tabs>
              <w:tab w:val="right" w:leader="dot" w:pos="9350"/>
            </w:tabs>
            <w:rPr>
              <w:b w:val="0"/>
              <w:bCs w:val="0"/>
              <w:noProof/>
              <w:lang w:eastAsia="en-GB"/>
            </w:rPr>
          </w:pPr>
          <w:hyperlink w:anchor="_Toc188625320" w:history="1">
            <w:r w:rsidRPr="00022F49">
              <w:rPr>
                <w:rStyle w:val="Hyperlink"/>
                <w:rFonts w:ascii="Aptos" w:hAnsi="Aptos"/>
                <w:noProof/>
              </w:rPr>
              <w:t>Data Management</w:t>
            </w:r>
            <w:r>
              <w:rPr>
                <w:noProof/>
                <w:webHidden/>
              </w:rPr>
              <w:tab/>
            </w:r>
            <w:r>
              <w:rPr>
                <w:noProof/>
                <w:webHidden/>
              </w:rPr>
              <w:fldChar w:fldCharType="begin"/>
            </w:r>
            <w:r>
              <w:rPr>
                <w:noProof/>
                <w:webHidden/>
              </w:rPr>
              <w:instrText xml:space="preserve"> PAGEREF _Toc188625320 \h </w:instrText>
            </w:r>
            <w:r>
              <w:rPr>
                <w:noProof/>
                <w:webHidden/>
              </w:rPr>
            </w:r>
            <w:r>
              <w:rPr>
                <w:noProof/>
                <w:webHidden/>
              </w:rPr>
              <w:fldChar w:fldCharType="separate"/>
            </w:r>
            <w:r>
              <w:rPr>
                <w:noProof/>
                <w:webHidden/>
              </w:rPr>
              <w:t>19</w:t>
            </w:r>
            <w:r>
              <w:rPr>
                <w:noProof/>
                <w:webHidden/>
              </w:rPr>
              <w:fldChar w:fldCharType="end"/>
            </w:r>
          </w:hyperlink>
        </w:p>
        <w:p w14:paraId="3A382C6D" w14:textId="0EFEED44" w:rsidR="0040681B" w:rsidRDefault="0040681B">
          <w:pPr>
            <w:pStyle w:val="TOC2"/>
            <w:tabs>
              <w:tab w:val="right" w:leader="dot" w:pos="9350"/>
            </w:tabs>
            <w:rPr>
              <w:b w:val="0"/>
              <w:bCs w:val="0"/>
              <w:noProof/>
              <w:lang w:eastAsia="en-GB"/>
            </w:rPr>
          </w:pPr>
          <w:hyperlink w:anchor="_Toc188625321" w:history="1">
            <w:r w:rsidRPr="00022F49">
              <w:rPr>
                <w:rStyle w:val="Hyperlink"/>
                <w:rFonts w:ascii="Aptos" w:hAnsi="Aptos"/>
                <w:noProof/>
              </w:rPr>
              <w:t>Medical management and safety reporting</w:t>
            </w:r>
            <w:r>
              <w:rPr>
                <w:noProof/>
                <w:webHidden/>
              </w:rPr>
              <w:tab/>
            </w:r>
            <w:r>
              <w:rPr>
                <w:noProof/>
                <w:webHidden/>
              </w:rPr>
              <w:fldChar w:fldCharType="begin"/>
            </w:r>
            <w:r>
              <w:rPr>
                <w:noProof/>
                <w:webHidden/>
              </w:rPr>
              <w:instrText xml:space="preserve"> PAGEREF _Toc188625321 \h </w:instrText>
            </w:r>
            <w:r>
              <w:rPr>
                <w:noProof/>
                <w:webHidden/>
              </w:rPr>
            </w:r>
            <w:r>
              <w:rPr>
                <w:noProof/>
                <w:webHidden/>
              </w:rPr>
              <w:fldChar w:fldCharType="separate"/>
            </w:r>
            <w:r>
              <w:rPr>
                <w:noProof/>
                <w:webHidden/>
              </w:rPr>
              <w:t>20</w:t>
            </w:r>
            <w:r>
              <w:rPr>
                <w:noProof/>
                <w:webHidden/>
              </w:rPr>
              <w:fldChar w:fldCharType="end"/>
            </w:r>
          </w:hyperlink>
        </w:p>
        <w:p w14:paraId="180D20BA" w14:textId="7ABDFD24" w:rsidR="0040681B" w:rsidRDefault="0040681B">
          <w:pPr>
            <w:pStyle w:val="TOC2"/>
            <w:tabs>
              <w:tab w:val="right" w:leader="dot" w:pos="9350"/>
            </w:tabs>
            <w:rPr>
              <w:b w:val="0"/>
              <w:bCs w:val="0"/>
              <w:noProof/>
              <w:lang w:eastAsia="en-GB"/>
            </w:rPr>
          </w:pPr>
          <w:hyperlink w:anchor="_Toc188625322" w:history="1">
            <w:r w:rsidRPr="00022F49">
              <w:rPr>
                <w:rStyle w:val="Hyperlink"/>
                <w:rFonts w:ascii="Aptos" w:hAnsi="Aptos"/>
                <w:noProof/>
              </w:rPr>
              <w:t>Data and materials access committee</w:t>
            </w:r>
            <w:r>
              <w:rPr>
                <w:noProof/>
                <w:webHidden/>
              </w:rPr>
              <w:tab/>
            </w:r>
            <w:r>
              <w:rPr>
                <w:noProof/>
                <w:webHidden/>
              </w:rPr>
              <w:fldChar w:fldCharType="begin"/>
            </w:r>
            <w:r>
              <w:rPr>
                <w:noProof/>
                <w:webHidden/>
              </w:rPr>
              <w:instrText xml:space="preserve"> PAGEREF _Toc188625322 \h </w:instrText>
            </w:r>
            <w:r>
              <w:rPr>
                <w:noProof/>
                <w:webHidden/>
              </w:rPr>
            </w:r>
            <w:r>
              <w:rPr>
                <w:noProof/>
                <w:webHidden/>
              </w:rPr>
              <w:fldChar w:fldCharType="separate"/>
            </w:r>
            <w:r>
              <w:rPr>
                <w:noProof/>
                <w:webHidden/>
              </w:rPr>
              <w:t>20</w:t>
            </w:r>
            <w:r>
              <w:rPr>
                <w:noProof/>
                <w:webHidden/>
              </w:rPr>
              <w:fldChar w:fldCharType="end"/>
            </w:r>
          </w:hyperlink>
        </w:p>
        <w:p w14:paraId="4AAD2BDA" w14:textId="1F802EEA" w:rsidR="0040681B" w:rsidRDefault="0040681B">
          <w:pPr>
            <w:pStyle w:val="TOC2"/>
            <w:tabs>
              <w:tab w:val="right" w:leader="dot" w:pos="9350"/>
            </w:tabs>
            <w:rPr>
              <w:b w:val="0"/>
              <w:bCs w:val="0"/>
              <w:noProof/>
              <w:lang w:eastAsia="en-GB"/>
            </w:rPr>
          </w:pPr>
          <w:hyperlink w:anchor="_Toc188625323" w:history="1">
            <w:r w:rsidRPr="00022F49">
              <w:rPr>
                <w:rStyle w:val="Hyperlink"/>
                <w:rFonts w:ascii="Aptos" w:hAnsi="Aptos"/>
                <w:noProof/>
              </w:rPr>
              <w:t>Protected data and materials</w:t>
            </w:r>
            <w:r>
              <w:rPr>
                <w:noProof/>
                <w:webHidden/>
              </w:rPr>
              <w:tab/>
            </w:r>
            <w:r>
              <w:rPr>
                <w:noProof/>
                <w:webHidden/>
              </w:rPr>
              <w:fldChar w:fldCharType="begin"/>
            </w:r>
            <w:r>
              <w:rPr>
                <w:noProof/>
                <w:webHidden/>
              </w:rPr>
              <w:instrText xml:space="preserve"> PAGEREF _Toc188625323 \h </w:instrText>
            </w:r>
            <w:r>
              <w:rPr>
                <w:noProof/>
                <w:webHidden/>
              </w:rPr>
            </w:r>
            <w:r>
              <w:rPr>
                <w:noProof/>
                <w:webHidden/>
              </w:rPr>
              <w:fldChar w:fldCharType="separate"/>
            </w:r>
            <w:r>
              <w:rPr>
                <w:noProof/>
                <w:webHidden/>
              </w:rPr>
              <w:t>20</w:t>
            </w:r>
            <w:r>
              <w:rPr>
                <w:noProof/>
                <w:webHidden/>
              </w:rPr>
              <w:fldChar w:fldCharType="end"/>
            </w:r>
          </w:hyperlink>
        </w:p>
        <w:p w14:paraId="70783172" w14:textId="17AB707C" w:rsidR="0040681B" w:rsidRDefault="0040681B">
          <w:pPr>
            <w:pStyle w:val="TOC2"/>
            <w:tabs>
              <w:tab w:val="right" w:leader="dot" w:pos="9350"/>
            </w:tabs>
            <w:rPr>
              <w:b w:val="0"/>
              <w:bCs w:val="0"/>
              <w:noProof/>
              <w:lang w:eastAsia="en-GB"/>
            </w:rPr>
          </w:pPr>
          <w:hyperlink w:anchor="_Toc188625324" w:history="1">
            <w:r w:rsidRPr="00022F49">
              <w:rPr>
                <w:rStyle w:val="Hyperlink"/>
                <w:rFonts w:ascii="Aptos" w:hAnsi="Aptos"/>
                <w:noProof/>
              </w:rPr>
              <w:t>Materials access</w:t>
            </w:r>
            <w:r>
              <w:rPr>
                <w:noProof/>
                <w:webHidden/>
              </w:rPr>
              <w:tab/>
            </w:r>
            <w:r>
              <w:rPr>
                <w:noProof/>
                <w:webHidden/>
              </w:rPr>
              <w:fldChar w:fldCharType="begin"/>
            </w:r>
            <w:r>
              <w:rPr>
                <w:noProof/>
                <w:webHidden/>
              </w:rPr>
              <w:instrText xml:space="preserve"> PAGEREF _Toc188625324 \h </w:instrText>
            </w:r>
            <w:r>
              <w:rPr>
                <w:noProof/>
                <w:webHidden/>
              </w:rPr>
            </w:r>
            <w:r>
              <w:rPr>
                <w:noProof/>
                <w:webHidden/>
              </w:rPr>
              <w:fldChar w:fldCharType="separate"/>
            </w:r>
            <w:r>
              <w:rPr>
                <w:noProof/>
                <w:webHidden/>
              </w:rPr>
              <w:t>20</w:t>
            </w:r>
            <w:r>
              <w:rPr>
                <w:noProof/>
                <w:webHidden/>
              </w:rPr>
              <w:fldChar w:fldCharType="end"/>
            </w:r>
          </w:hyperlink>
        </w:p>
        <w:p w14:paraId="4E0DC7CB" w14:textId="48F9A531" w:rsidR="0040681B" w:rsidRDefault="0040681B">
          <w:pPr>
            <w:pStyle w:val="TOC2"/>
            <w:tabs>
              <w:tab w:val="right" w:leader="dot" w:pos="9350"/>
            </w:tabs>
            <w:rPr>
              <w:b w:val="0"/>
              <w:bCs w:val="0"/>
              <w:noProof/>
              <w:lang w:eastAsia="en-GB"/>
            </w:rPr>
          </w:pPr>
          <w:hyperlink w:anchor="_Toc188625325" w:history="1">
            <w:r w:rsidRPr="00022F49">
              <w:rPr>
                <w:rStyle w:val="Hyperlink"/>
                <w:rFonts w:ascii="Aptos" w:hAnsi="Aptos"/>
                <w:noProof/>
              </w:rPr>
              <w:t>Data access</w:t>
            </w:r>
            <w:r>
              <w:rPr>
                <w:noProof/>
                <w:webHidden/>
              </w:rPr>
              <w:tab/>
            </w:r>
            <w:r>
              <w:rPr>
                <w:noProof/>
                <w:webHidden/>
              </w:rPr>
              <w:fldChar w:fldCharType="begin"/>
            </w:r>
            <w:r>
              <w:rPr>
                <w:noProof/>
                <w:webHidden/>
              </w:rPr>
              <w:instrText xml:space="preserve"> PAGEREF _Toc188625325 \h </w:instrText>
            </w:r>
            <w:r>
              <w:rPr>
                <w:noProof/>
                <w:webHidden/>
              </w:rPr>
            </w:r>
            <w:r>
              <w:rPr>
                <w:noProof/>
                <w:webHidden/>
              </w:rPr>
              <w:fldChar w:fldCharType="separate"/>
            </w:r>
            <w:r>
              <w:rPr>
                <w:noProof/>
                <w:webHidden/>
              </w:rPr>
              <w:t>20</w:t>
            </w:r>
            <w:r>
              <w:rPr>
                <w:noProof/>
                <w:webHidden/>
              </w:rPr>
              <w:fldChar w:fldCharType="end"/>
            </w:r>
          </w:hyperlink>
        </w:p>
        <w:p w14:paraId="01B68773" w14:textId="79CB08FC" w:rsidR="0040681B" w:rsidRDefault="0040681B">
          <w:pPr>
            <w:pStyle w:val="TOC2"/>
            <w:tabs>
              <w:tab w:val="right" w:leader="dot" w:pos="9350"/>
            </w:tabs>
            <w:rPr>
              <w:b w:val="0"/>
              <w:bCs w:val="0"/>
              <w:noProof/>
              <w:lang w:eastAsia="en-GB"/>
            </w:rPr>
          </w:pPr>
          <w:hyperlink w:anchor="_Toc188625326" w:history="1">
            <w:r w:rsidRPr="00022F49">
              <w:rPr>
                <w:rStyle w:val="Hyperlink"/>
                <w:rFonts w:ascii="Aptos" w:hAnsi="Aptos"/>
                <w:noProof/>
              </w:rPr>
              <w:t>Future use of samples</w:t>
            </w:r>
            <w:r>
              <w:rPr>
                <w:noProof/>
                <w:webHidden/>
              </w:rPr>
              <w:tab/>
            </w:r>
            <w:r>
              <w:rPr>
                <w:noProof/>
                <w:webHidden/>
              </w:rPr>
              <w:fldChar w:fldCharType="begin"/>
            </w:r>
            <w:r>
              <w:rPr>
                <w:noProof/>
                <w:webHidden/>
              </w:rPr>
              <w:instrText xml:space="preserve"> PAGEREF _Toc188625326 \h </w:instrText>
            </w:r>
            <w:r>
              <w:rPr>
                <w:noProof/>
                <w:webHidden/>
              </w:rPr>
            </w:r>
            <w:r>
              <w:rPr>
                <w:noProof/>
                <w:webHidden/>
              </w:rPr>
              <w:fldChar w:fldCharType="separate"/>
            </w:r>
            <w:r>
              <w:rPr>
                <w:noProof/>
                <w:webHidden/>
              </w:rPr>
              <w:t>20</w:t>
            </w:r>
            <w:r>
              <w:rPr>
                <w:noProof/>
                <w:webHidden/>
              </w:rPr>
              <w:fldChar w:fldCharType="end"/>
            </w:r>
          </w:hyperlink>
        </w:p>
        <w:p w14:paraId="5276EBF1" w14:textId="75B85418" w:rsidR="0040681B" w:rsidRDefault="0040681B">
          <w:pPr>
            <w:pStyle w:val="TOC1"/>
            <w:rPr>
              <w:rFonts w:asciiTheme="minorHAnsi" w:hAnsiTheme="minorHAnsi"/>
              <w:b w:val="0"/>
              <w:bCs w:val="0"/>
              <w:sz w:val="22"/>
              <w:szCs w:val="22"/>
              <w:lang w:eastAsia="en-GB"/>
            </w:rPr>
          </w:pPr>
          <w:hyperlink w:anchor="_Toc188625327" w:history="1">
            <w:r w:rsidRPr="00022F49">
              <w:rPr>
                <w:rStyle w:val="Hyperlink"/>
              </w:rPr>
              <w:t>Ethical considerations</w:t>
            </w:r>
            <w:r>
              <w:rPr>
                <w:webHidden/>
              </w:rPr>
              <w:tab/>
            </w:r>
            <w:r>
              <w:rPr>
                <w:webHidden/>
              </w:rPr>
              <w:fldChar w:fldCharType="begin"/>
            </w:r>
            <w:r>
              <w:rPr>
                <w:webHidden/>
              </w:rPr>
              <w:instrText xml:space="preserve"> PAGEREF _Toc188625327 \h </w:instrText>
            </w:r>
            <w:r>
              <w:rPr>
                <w:webHidden/>
              </w:rPr>
            </w:r>
            <w:r>
              <w:rPr>
                <w:webHidden/>
              </w:rPr>
              <w:fldChar w:fldCharType="separate"/>
            </w:r>
            <w:r>
              <w:rPr>
                <w:webHidden/>
              </w:rPr>
              <w:t>21</w:t>
            </w:r>
            <w:r>
              <w:rPr>
                <w:webHidden/>
              </w:rPr>
              <w:fldChar w:fldCharType="end"/>
            </w:r>
          </w:hyperlink>
        </w:p>
        <w:p w14:paraId="374659FD" w14:textId="57108442" w:rsidR="0040681B" w:rsidRDefault="0040681B">
          <w:pPr>
            <w:pStyle w:val="TOC2"/>
            <w:tabs>
              <w:tab w:val="right" w:leader="dot" w:pos="9350"/>
            </w:tabs>
            <w:rPr>
              <w:b w:val="0"/>
              <w:bCs w:val="0"/>
              <w:noProof/>
              <w:lang w:eastAsia="en-GB"/>
            </w:rPr>
          </w:pPr>
          <w:hyperlink w:anchor="_Toc188625328" w:history="1">
            <w:r w:rsidRPr="00022F49">
              <w:rPr>
                <w:rStyle w:val="Hyperlink"/>
                <w:rFonts w:ascii="Aptos" w:hAnsi="Aptos"/>
                <w:noProof/>
              </w:rPr>
              <w:t>Informed consent</w:t>
            </w:r>
            <w:r>
              <w:rPr>
                <w:noProof/>
                <w:webHidden/>
              </w:rPr>
              <w:tab/>
            </w:r>
            <w:r>
              <w:rPr>
                <w:noProof/>
                <w:webHidden/>
              </w:rPr>
              <w:fldChar w:fldCharType="begin"/>
            </w:r>
            <w:r>
              <w:rPr>
                <w:noProof/>
                <w:webHidden/>
              </w:rPr>
              <w:instrText xml:space="preserve"> PAGEREF _Toc188625328 \h </w:instrText>
            </w:r>
            <w:r>
              <w:rPr>
                <w:noProof/>
                <w:webHidden/>
              </w:rPr>
            </w:r>
            <w:r>
              <w:rPr>
                <w:noProof/>
                <w:webHidden/>
              </w:rPr>
              <w:fldChar w:fldCharType="separate"/>
            </w:r>
            <w:r>
              <w:rPr>
                <w:noProof/>
                <w:webHidden/>
              </w:rPr>
              <w:t>21</w:t>
            </w:r>
            <w:r>
              <w:rPr>
                <w:noProof/>
                <w:webHidden/>
              </w:rPr>
              <w:fldChar w:fldCharType="end"/>
            </w:r>
          </w:hyperlink>
        </w:p>
        <w:p w14:paraId="20F71CCC" w14:textId="5D17D660" w:rsidR="0040681B" w:rsidRDefault="0040681B">
          <w:pPr>
            <w:pStyle w:val="TOC3"/>
            <w:tabs>
              <w:tab w:val="right" w:leader="dot" w:pos="9350"/>
            </w:tabs>
            <w:rPr>
              <w:noProof/>
              <w:sz w:val="22"/>
              <w:szCs w:val="22"/>
              <w:lang w:eastAsia="en-GB"/>
            </w:rPr>
          </w:pPr>
          <w:hyperlink w:anchor="_Toc188625329" w:history="1">
            <w:r w:rsidRPr="00022F49">
              <w:rPr>
                <w:rStyle w:val="Hyperlink"/>
                <w:rFonts w:ascii="Aptos" w:hAnsi="Aptos"/>
                <w:noProof/>
              </w:rPr>
              <w:t>Patients unable to consent for themselves</w:t>
            </w:r>
            <w:r>
              <w:rPr>
                <w:noProof/>
                <w:webHidden/>
              </w:rPr>
              <w:tab/>
            </w:r>
            <w:r>
              <w:rPr>
                <w:noProof/>
                <w:webHidden/>
              </w:rPr>
              <w:fldChar w:fldCharType="begin"/>
            </w:r>
            <w:r>
              <w:rPr>
                <w:noProof/>
                <w:webHidden/>
              </w:rPr>
              <w:instrText xml:space="preserve"> PAGEREF _Toc188625329 \h </w:instrText>
            </w:r>
            <w:r>
              <w:rPr>
                <w:noProof/>
                <w:webHidden/>
              </w:rPr>
            </w:r>
            <w:r>
              <w:rPr>
                <w:noProof/>
                <w:webHidden/>
              </w:rPr>
              <w:fldChar w:fldCharType="separate"/>
            </w:r>
            <w:r>
              <w:rPr>
                <w:noProof/>
                <w:webHidden/>
              </w:rPr>
              <w:t>21</w:t>
            </w:r>
            <w:r>
              <w:rPr>
                <w:noProof/>
                <w:webHidden/>
              </w:rPr>
              <w:fldChar w:fldCharType="end"/>
            </w:r>
          </w:hyperlink>
        </w:p>
        <w:p w14:paraId="43188870" w14:textId="025E6CC0" w:rsidR="0040681B" w:rsidRDefault="0040681B">
          <w:pPr>
            <w:pStyle w:val="TOC3"/>
            <w:tabs>
              <w:tab w:val="right" w:leader="dot" w:pos="9350"/>
            </w:tabs>
            <w:rPr>
              <w:noProof/>
              <w:sz w:val="22"/>
              <w:szCs w:val="22"/>
              <w:lang w:eastAsia="en-GB"/>
            </w:rPr>
          </w:pPr>
          <w:hyperlink w:anchor="_Toc188625330" w:history="1">
            <w:r w:rsidRPr="00022F49">
              <w:rPr>
                <w:rStyle w:val="Hyperlink"/>
                <w:rFonts w:ascii="Aptos" w:hAnsi="Aptos"/>
                <w:noProof/>
              </w:rPr>
              <w:t>Immediate consent / immediate declaration</w:t>
            </w:r>
            <w:r>
              <w:rPr>
                <w:noProof/>
                <w:webHidden/>
              </w:rPr>
              <w:tab/>
            </w:r>
            <w:r>
              <w:rPr>
                <w:noProof/>
                <w:webHidden/>
              </w:rPr>
              <w:fldChar w:fldCharType="begin"/>
            </w:r>
            <w:r>
              <w:rPr>
                <w:noProof/>
                <w:webHidden/>
              </w:rPr>
              <w:instrText xml:space="preserve"> PAGEREF _Toc188625330 \h </w:instrText>
            </w:r>
            <w:r>
              <w:rPr>
                <w:noProof/>
                <w:webHidden/>
              </w:rPr>
            </w:r>
            <w:r>
              <w:rPr>
                <w:noProof/>
                <w:webHidden/>
              </w:rPr>
              <w:fldChar w:fldCharType="separate"/>
            </w:r>
            <w:r>
              <w:rPr>
                <w:noProof/>
                <w:webHidden/>
              </w:rPr>
              <w:t>22</w:t>
            </w:r>
            <w:r>
              <w:rPr>
                <w:noProof/>
                <w:webHidden/>
              </w:rPr>
              <w:fldChar w:fldCharType="end"/>
            </w:r>
          </w:hyperlink>
        </w:p>
        <w:p w14:paraId="1F3711B9" w14:textId="09550EE3" w:rsidR="0040681B" w:rsidRDefault="0040681B">
          <w:pPr>
            <w:pStyle w:val="TOC3"/>
            <w:tabs>
              <w:tab w:val="right" w:leader="dot" w:pos="9350"/>
            </w:tabs>
            <w:rPr>
              <w:noProof/>
              <w:sz w:val="22"/>
              <w:szCs w:val="22"/>
              <w:lang w:eastAsia="en-GB"/>
            </w:rPr>
          </w:pPr>
          <w:hyperlink w:anchor="_Toc188625331" w:history="1">
            <w:r w:rsidRPr="00022F49">
              <w:rPr>
                <w:rStyle w:val="Hyperlink"/>
                <w:rFonts w:ascii="Aptos" w:hAnsi="Aptos"/>
                <w:noProof/>
              </w:rPr>
              <w:t>Deferred consent</w:t>
            </w:r>
            <w:r>
              <w:rPr>
                <w:noProof/>
                <w:webHidden/>
              </w:rPr>
              <w:tab/>
            </w:r>
            <w:r>
              <w:rPr>
                <w:noProof/>
                <w:webHidden/>
              </w:rPr>
              <w:fldChar w:fldCharType="begin"/>
            </w:r>
            <w:r>
              <w:rPr>
                <w:noProof/>
                <w:webHidden/>
              </w:rPr>
              <w:instrText xml:space="preserve"> PAGEREF _Toc188625331 \h </w:instrText>
            </w:r>
            <w:r>
              <w:rPr>
                <w:noProof/>
                <w:webHidden/>
              </w:rPr>
            </w:r>
            <w:r>
              <w:rPr>
                <w:noProof/>
                <w:webHidden/>
              </w:rPr>
              <w:fldChar w:fldCharType="separate"/>
            </w:r>
            <w:r>
              <w:rPr>
                <w:noProof/>
                <w:webHidden/>
              </w:rPr>
              <w:t>22</w:t>
            </w:r>
            <w:r>
              <w:rPr>
                <w:noProof/>
                <w:webHidden/>
              </w:rPr>
              <w:fldChar w:fldCharType="end"/>
            </w:r>
          </w:hyperlink>
        </w:p>
        <w:p w14:paraId="1EAFA24D" w14:textId="47A557E1" w:rsidR="0040681B" w:rsidRDefault="0040681B">
          <w:pPr>
            <w:pStyle w:val="TOC3"/>
            <w:tabs>
              <w:tab w:val="right" w:leader="dot" w:pos="9350"/>
            </w:tabs>
            <w:rPr>
              <w:noProof/>
              <w:sz w:val="22"/>
              <w:szCs w:val="22"/>
              <w:lang w:eastAsia="en-GB"/>
            </w:rPr>
          </w:pPr>
          <w:hyperlink w:anchor="_Toc188625332" w:history="1">
            <w:r w:rsidRPr="00022F49">
              <w:rPr>
                <w:rStyle w:val="Hyperlink"/>
                <w:rFonts w:ascii="Aptos" w:hAnsi="Aptos"/>
                <w:noProof/>
              </w:rPr>
              <w:t>Telephone consent / immediate declaration</w:t>
            </w:r>
            <w:r>
              <w:rPr>
                <w:noProof/>
                <w:webHidden/>
              </w:rPr>
              <w:tab/>
            </w:r>
            <w:r>
              <w:rPr>
                <w:noProof/>
                <w:webHidden/>
              </w:rPr>
              <w:fldChar w:fldCharType="begin"/>
            </w:r>
            <w:r>
              <w:rPr>
                <w:noProof/>
                <w:webHidden/>
              </w:rPr>
              <w:instrText xml:space="preserve"> PAGEREF _Toc188625332 \h </w:instrText>
            </w:r>
            <w:r>
              <w:rPr>
                <w:noProof/>
                <w:webHidden/>
              </w:rPr>
            </w:r>
            <w:r>
              <w:rPr>
                <w:noProof/>
                <w:webHidden/>
              </w:rPr>
              <w:fldChar w:fldCharType="separate"/>
            </w:r>
            <w:r>
              <w:rPr>
                <w:noProof/>
                <w:webHidden/>
              </w:rPr>
              <w:t>22</w:t>
            </w:r>
            <w:r>
              <w:rPr>
                <w:noProof/>
                <w:webHidden/>
              </w:rPr>
              <w:fldChar w:fldCharType="end"/>
            </w:r>
          </w:hyperlink>
        </w:p>
        <w:p w14:paraId="52F2315F" w14:textId="5E809806" w:rsidR="0040681B" w:rsidRDefault="0040681B">
          <w:pPr>
            <w:pStyle w:val="TOC2"/>
            <w:tabs>
              <w:tab w:val="right" w:leader="dot" w:pos="9350"/>
            </w:tabs>
            <w:rPr>
              <w:b w:val="0"/>
              <w:bCs w:val="0"/>
              <w:noProof/>
              <w:lang w:eastAsia="en-GB"/>
            </w:rPr>
          </w:pPr>
          <w:hyperlink w:anchor="_Toc188625333" w:history="1">
            <w:r w:rsidRPr="00022F49">
              <w:rPr>
                <w:rStyle w:val="Hyperlink"/>
                <w:rFonts w:ascii="Aptos" w:hAnsi="Aptos"/>
                <w:noProof/>
              </w:rPr>
              <w:t>Risks to participants</w:t>
            </w:r>
            <w:r>
              <w:rPr>
                <w:noProof/>
                <w:webHidden/>
              </w:rPr>
              <w:tab/>
            </w:r>
            <w:r>
              <w:rPr>
                <w:noProof/>
                <w:webHidden/>
              </w:rPr>
              <w:fldChar w:fldCharType="begin"/>
            </w:r>
            <w:r>
              <w:rPr>
                <w:noProof/>
                <w:webHidden/>
              </w:rPr>
              <w:instrText xml:space="preserve"> PAGEREF _Toc188625333 \h </w:instrText>
            </w:r>
            <w:r>
              <w:rPr>
                <w:noProof/>
                <w:webHidden/>
              </w:rPr>
            </w:r>
            <w:r>
              <w:rPr>
                <w:noProof/>
                <w:webHidden/>
              </w:rPr>
              <w:fldChar w:fldCharType="separate"/>
            </w:r>
            <w:r>
              <w:rPr>
                <w:noProof/>
                <w:webHidden/>
              </w:rPr>
              <w:t>22</w:t>
            </w:r>
            <w:r>
              <w:rPr>
                <w:noProof/>
                <w:webHidden/>
              </w:rPr>
              <w:fldChar w:fldCharType="end"/>
            </w:r>
          </w:hyperlink>
        </w:p>
        <w:p w14:paraId="305CFBB4" w14:textId="676F1012" w:rsidR="0040681B" w:rsidRDefault="0040681B">
          <w:pPr>
            <w:pStyle w:val="TOC3"/>
            <w:tabs>
              <w:tab w:val="right" w:leader="dot" w:pos="9350"/>
            </w:tabs>
            <w:rPr>
              <w:noProof/>
              <w:sz w:val="22"/>
              <w:szCs w:val="22"/>
              <w:lang w:eastAsia="en-GB"/>
            </w:rPr>
          </w:pPr>
          <w:hyperlink w:anchor="_Toc188625334" w:history="1">
            <w:r w:rsidRPr="00022F49">
              <w:rPr>
                <w:rStyle w:val="Hyperlink"/>
                <w:rFonts w:ascii="Aptos" w:hAnsi="Aptos"/>
                <w:noProof/>
              </w:rPr>
              <w:t>Inconvenience</w:t>
            </w:r>
            <w:r>
              <w:rPr>
                <w:noProof/>
                <w:webHidden/>
              </w:rPr>
              <w:tab/>
            </w:r>
            <w:r>
              <w:rPr>
                <w:noProof/>
                <w:webHidden/>
              </w:rPr>
              <w:fldChar w:fldCharType="begin"/>
            </w:r>
            <w:r>
              <w:rPr>
                <w:noProof/>
                <w:webHidden/>
              </w:rPr>
              <w:instrText xml:space="preserve"> PAGEREF _Toc188625334 \h </w:instrText>
            </w:r>
            <w:r>
              <w:rPr>
                <w:noProof/>
                <w:webHidden/>
              </w:rPr>
            </w:r>
            <w:r>
              <w:rPr>
                <w:noProof/>
                <w:webHidden/>
              </w:rPr>
              <w:fldChar w:fldCharType="separate"/>
            </w:r>
            <w:r>
              <w:rPr>
                <w:noProof/>
                <w:webHidden/>
              </w:rPr>
              <w:t>22</w:t>
            </w:r>
            <w:r>
              <w:rPr>
                <w:noProof/>
                <w:webHidden/>
              </w:rPr>
              <w:fldChar w:fldCharType="end"/>
            </w:r>
          </w:hyperlink>
        </w:p>
        <w:p w14:paraId="7A30FB55" w14:textId="2BBBCA2D" w:rsidR="0040681B" w:rsidRDefault="0040681B">
          <w:pPr>
            <w:pStyle w:val="TOC3"/>
            <w:tabs>
              <w:tab w:val="right" w:leader="dot" w:pos="9350"/>
            </w:tabs>
            <w:rPr>
              <w:noProof/>
              <w:sz w:val="22"/>
              <w:szCs w:val="22"/>
              <w:lang w:eastAsia="en-GB"/>
            </w:rPr>
          </w:pPr>
          <w:hyperlink w:anchor="_Toc188625335" w:history="1">
            <w:r w:rsidRPr="00022F49">
              <w:rPr>
                <w:rStyle w:val="Hyperlink"/>
                <w:rFonts w:ascii="Aptos" w:hAnsi="Aptos"/>
                <w:noProof/>
              </w:rPr>
              <w:t>Phlebotomy</w:t>
            </w:r>
            <w:r>
              <w:rPr>
                <w:noProof/>
                <w:webHidden/>
              </w:rPr>
              <w:tab/>
            </w:r>
            <w:r>
              <w:rPr>
                <w:noProof/>
                <w:webHidden/>
              </w:rPr>
              <w:fldChar w:fldCharType="begin"/>
            </w:r>
            <w:r>
              <w:rPr>
                <w:noProof/>
                <w:webHidden/>
              </w:rPr>
              <w:instrText xml:space="preserve"> PAGEREF _Toc188625335 \h </w:instrText>
            </w:r>
            <w:r>
              <w:rPr>
                <w:noProof/>
                <w:webHidden/>
              </w:rPr>
            </w:r>
            <w:r>
              <w:rPr>
                <w:noProof/>
                <w:webHidden/>
              </w:rPr>
              <w:fldChar w:fldCharType="separate"/>
            </w:r>
            <w:r>
              <w:rPr>
                <w:noProof/>
                <w:webHidden/>
              </w:rPr>
              <w:t>23</w:t>
            </w:r>
            <w:r>
              <w:rPr>
                <w:noProof/>
                <w:webHidden/>
              </w:rPr>
              <w:fldChar w:fldCharType="end"/>
            </w:r>
          </w:hyperlink>
        </w:p>
        <w:p w14:paraId="4426EF01" w14:textId="7E936200" w:rsidR="0040681B" w:rsidRDefault="0040681B">
          <w:pPr>
            <w:pStyle w:val="TOC3"/>
            <w:tabs>
              <w:tab w:val="right" w:leader="dot" w:pos="9350"/>
            </w:tabs>
            <w:rPr>
              <w:noProof/>
              <w:sz w:val="22"/>
              <w:szCs w:val="22"/>
              <w:lang w:eastAsia="en-GB"/>
            </w:rPr>
          </w:pPr>
          <w:hyperlink w:anchor="_Toc188625336" w:history="1">
            <w:r w:rsidRPr="00022F49">
              <w:rPr>
                <w:rStyle w:val="Hyperlink"/>
                <w:rFonts w:ascii="Aptos" w:hAnsi="Aptos"/>
                <w:noProof/>
              </w:rPr>
              <w:t>CLINICALLY-ACTIONABLE findings in genetic testing</w:t>
            </w:r>
            <w:r>
              <w:rPr>
                <w:noProof/>
                <w:webHidden/>
              </w:rPr>
              <w:tab/>
            </w:r>
            <w:r>
              <w:rPr>
                <w:noProof/>
                <w:webHidden/>
              </w:rPr>
              <w:fldChar w:fldCharType="begin"/>
            </w:r>
            <w:r>
              <w:rPr>
                <w:noProof/>
                <w:webHidden/>
              </w:rPr>
              <w:instrText xml:space="preserve"> PAGEREF _Toc188625336 \h </w:instrText>
            </w:r>
            <w:r>
              <w:rPr>
                <w:noProof/>
                <w:webHidden/>
              </w:rPr>
            </w:r>
            <w:r>
              <w:rPr>
                <w:noProof/>
                <w:webHidden/>
              </w:rPr>
              <w:fldChar w:fldCharType="separate"/>
            </w:r>
            <w:r>
              <w:rPr>
                <w:noProof/>
                <w:webHidden/>
              </w:rPr>
              <w:t>23</w:t>
            </w:r>
            <w:r>
              <w:rPr>
                <w:noProof/>
                <w:webHidden/>
              </w:rPr>
              <w:fldChar w:fldCharType="end"/>
            </w:r>
          </w:hyperlink>
        </w:p>
        <w:p w14:paraId="24ABCE69" w14:textId="0B09FA77" w:rsidR="0040681B" w:rsidRDefault="0040681B">
          <w:pPr>
            <w:pStyle w:val="TOC3"/>
            <w:tabs>
              <w:tab w:val="right" w:leader="dot" w:pos="9350"/>
            </w:tabs>
            <w:rPr>
              <w:noProof/>
              <w:sz w:val="22"/>
              <w:szCs w:val="22"/>
              <w:lang w:eastAsia="en-GB"/>
            </w:rPr>
          </w:pPr>
          <w:hyperlink w:anchor="_Toc188625337" w:history="1">
            <w:r w:rsidRPr="00022F49">
              <w:rPr>
                <w:rStyle w:val="Hyperlink"/>
                <w:rFonts w:ascii="Aptos" w:hAnsi="Aptos"/>
                <w:noProof/>
              </w:rPr>
              <w:t>Benefits to participants</w:t>
            </w:r>
            <w:r>
              <w:rPr>
                <w:noProof/>
                <w:webHidden/>
              </w:rPr>
              <w:tab/>
            </w:r>
            <w:r>
              <w:rPr>
                <w:noProof/>
                <w:webHidden/>
              </w:rPr>
              <w:fldChar w:fldCharType="begin"/>
            </w:r>
            <w:r>
              <w:rPr>
                <w:noProof/>
                <w:webHidden/>
              </w:rPr>
              <w:instrText xml:space="preserve"> PAGEREF _Toc188625337 \h </w:instrText>
            </w:r>
            <w:r>
              <w:rPr>
                <w:noProof/>
                <w:webHidden/>
              </w:rPr>
            </w:r>
            <w:r>
              <w:rPr>
                <w:noProof/>
                <w:webHidden/>
              </w:rPr>
              <w:fldChar w:fldCharType="separate"/>
            </w:r>
            <w:r>
              <w:rPr>
                <w:noProof/>
                <w:webHidden/>
              </w:rPr>
              <w:t>23</w:t>
            </w:r>
            <w:r>
              <w:rPr>
                <w:noProof/>
                <w:webHidden/>
              </w:rPr>
              <w:fldChar w:fldCharType="end"/>
            </w:r>
          </w:hyperlink>
        </w:p>
        <w:p w14:paraId="6E1A4BD6" w14:textId="65397DBA" w:rsidR="0040681B" w:rsidRDefault="0040681B">
          <w:pPr>
            <w:pStyle w:val="TOC2"/>
            <w:tabs>
              <w:tab w:val="right" w:leader="dot" w:pos="9350"/>
            </w:tabs>
            <w:rPr>
              <w:b w:val="0"/>
              <w:bCs w:val="0"/>
              <w:noProof/>
              <w:lang w:eastAsia="en-GB"/>
            </w:rPr>
          </w:pPr>
          <w:hyperlink w:anchor="_Toc188625338" w:history="1">
            <w:r w:rsidRPr="00022F49">
              <w:rPr>
                <w:rStyle w:val="Hyperlink"/>
                <w:rFonts w:ascii="Aptos" w:hAnsi="Aptos"/>
                <w:noProof/>
              </w:rPr>
              <w:t>Participation in other research studies (co-enrolment)</w:t>
            </w:r>
            <w:r>
              <w:rPr>
                <w:noProof/>
                <w:webHidden/>
              </w:rPr>
              <w:tab/>
            </w:r>
            <w:r>
              <w:rPr>
                <w:noProof/>
                <w:webHidden/>
              </w:rPr>
              <w:fldChar w:fldCharType="begin"/>
            </w:r>
            <w:r>
              <w:rPr>
                <w:noProof/>
                <w:webHidden/>
              </w:rPr>
              <w:instrText xml:space="preserve"> PAGEREF _Toc188625338 \h </w:instrText>
            </w:r>
            <w:r>
              <w:rPr>
                <w:noProof/>
                <w:webHidden/>
              </w:rPr>
            </w:r>
            <w:r>
              <w:rPr>
                <w:noProof/>
                <w:webHidden/>
              </w:rPr>
              <w:fldChar w:fldCharType="separate"/>
            </w:r>
            <w:r>
              <w:rPr>
                <w:noProof/>
                <w:webHidden/>
              </w:rPr>
              <w:t>23</w:t>
            </w:r>
            <w:r>
              <w:rPr>
                <w:noProof/>
                <w:webHidden/>
              </w:rPr>
              <w:fldChar w:fldCharType="end"/>
            </w:r>
          </w:hyperlink>
        </w:p>
        <w:p w14:paraId="01DC4BB4" w14:textId="5F14F2F0" w:rsidR="0040681B" w:rsidRDefault="0040681B">
          <w:pPr>
            <w:pStyle w:val="TOC2"/>
            <w:tabs>
              <w:tab w:val="right" w:leader="dot" w:pos="9350"/>
            </w:tabs>
            <w:rPr>
              <w:b w:val="0"/>
              <w:bCs w:val="0"/>
              <w:noProof/>
              <w:lang w:eastAsia="en-GB"/>
            </w:rPr>
          </w:pPr>
          <w:hyperlink w:anchor="_Toc188625339" w:history="1">
            <w:r w:rsidRPr="00022F49">
              <w:rPr>
                <w:rStyle w:val="Hyperlink"/>
                <w:rFonts w:ascii="Aptos" w:hAnsi="Aptos"/>
                <w:noProof/>
              </w:rPr>
              <w:t>Confidentiality</w:t>
            </w:r>
            <w:r>
              <w:rPr>
                <w:noProof/>
                <w:webHidden/>
              </w:rPr>
              <w:tab/>
            </w:r>
            <w:r>
              <w:rPr>
                <w:noProof/>
                <w:webHidden/>
              </w:rPr>
              <w:fldChar w:fldCharType="begin"/>
            </w:r>
            <w:r>
              <w:rPr>
                <w:noProof/>
                <w:webHidden/>
              </w:rPr>
              <w:instrText xml:space="preserve"> PAGEREF _Toc188625339 \h </w:instrText>
            </w:r>
            <w:r>
              <w:rPr>
                <w:noProof/>
                <w:webHidden/>
              </w:rPr>
            </w:r>
            <w:r>
              <w:rPr>
                <w:noProof/>
                <w:webHidden/>
              </w:rPr>
              <w:fldChar w:fldCharType="separate"/>
            </w:r>
            <w:r>
              <w:rPr>
                <w:noProof/>
                <w:webHidden/>
              </w:rPr>
              <w:t>23</w:t>
            </w:r>
            <w:r>
              <w:rPr>
                <w:noProof/>
                <w:webHidden/>
              </w:rPr>
              <w:fldChar w:fldCharType="end"/>
            </w:r>
          </w:hyperlink>
        </w:p>
        <w:p w14:paraId="7B50EEB6" w14:textId="09455FFB" w:rsidR="0040681B" w:rsidRDefault="0040681B">
          <w:pPr>
            <w:pStyle w:val="TOC2"/>
            <w:tabs>
              <w:tab w:val="right" w:leader="dot" w:pos="9350"/>
            </w:tabs>
            <w:rPr>
              <w:b w:val="0"/>
              <w:bCs w:val="0"/>
              <w:noProof/>
              <w:lang w:eastAsia="en-GB"/>
            </w:rPr>
          </w:pPr>
          <w:hyperlink w:anchor="_Toc188625340" w:history="1">
            <w:r w:rsidRPr="00022F49">
              <w:rPr>
                <w:rStyle w:val="Hyperlink"/>
                <w:rFonts w:ascii="Aptos" w:hAnsi="Aptos"/>
                <w:noProof/>
              </w:rPr>
              <w:t>Scientific and peer review</w:t>
            </w:r>
            <w:r>
              <w:rPr>
                <w:noProof/>
                <w:webHidden/>
              </w:rPr>
              <w:tab/>
            </w:r>
            <w:r>
              <w:rPr>
                <w:noProof/>
                <w:webHidden/>
              </w:rPr>
              <w:fldChar w:fldCharType="begin"/>
            </w:r>
            <w:r>
              <w:rPr>
                <w:noProof/>
                <w:webHidden/>
              </w:rPr>
              <w:instrText xml:space="preserve"> PAGEREF _Toc188625340 \h </w:instrText>
            </w:r>
            <w:r>
              <w:rPr>
                <w:noProof/>
                <w:webHidden/>
              </w:rPr>
            </w:r>
            <w:r>
              <w:rPr>
                <w:noProof/>
                <w:webHidden/>
              </w:rPr>
              <w:fldChar w:fldCharType="separate"/>
            </w:r>
            <w:r>
              <w:rPr>
                <w:noProof/>
                <w:webHidden/>
              </w:rPr>
              <w:t>24</w:t>
            </w:r>
            <w:r>
              <w:rPr>
                <w:noProof/>
                <w:webHidden/>
              </w:rPr>
              <w:fldChar w:fldCharType="end"/>
            </w:r>
          </w:hyperlink>
        </w:p>
        <w:p w14:paraId="6AE2B068" w14:textId="5D69C64F" w:rsidR="0040681B" w:rsidRDefault="0040681B">
          <w:pPr>
            <w:pStyle w:val="TOC2"/>
            <w:tabs>
              <w:tab w:val="right" w:leader="dot" w:pos="9350"/>
            </w:tabs>
            <w:rPr>
              <w:b w:val="0"/>
              <w:bCs w:val="0"/>
              <w:noProof/>
              <w:lang w:eastAsia="en-GB"/>
            </w:rPr>
          </w:pPr>
          <w:hyperlink w:anchor="_Toc188625341" w:history="1">
            <w:r w:rsidRPr="00022F49">
              <w:rPr>
                <w:rStyle w:val="Hyperlink"/>
                <w:rFonts w:ascii="Aptos" w:hAnsi="Aptos"/>
                <w:noProof/>
              </w:rPr>
              <w:t>References</w:t>
            </w:r>
            <w:r>
              <w:rPr>
                <w:noProof/>
                <w:webHidden/>
              </w:rPr>
              <w:tab/>
            </w:r>
            <w:r>
              <w:rPr>
                <w:noProof/>
                <w:webHidden/>
              </w:rPr>
              <w:fldChar w:fldCharType="begin"/>
            </w:r>
            <w:r>
              <w:rPr>
                <w:noProof/>
                <w:webHidden/>
              </w:rPr>
              <w:instrText xml:space="preserve"> PAGEREF _Toc188625341 \h </w:instrText>
            </w:r>
            <w:r>
              <w:rPr>
                <w:noProof/>
                <w:webHidden/>
              </w:rPr>
            </w:r>
            <w:r>
              <w:rPr>
                <w:noProof/>
                <w:webHidden/>
              </w:rPr>
              <w:fldChar w:fldCharType="separate"/>
            </w:r>
            <w:r>
              <w:rPr>
                <w:noProof/>
                <w:webHidden/>
              </w:rPr>
              <w:t>25</w:t>
            </w:r>
            <w:r>
              <w:rPr>
                <w:noProof/>
                <w:webHidden/>
              </w:rPr>
              <w:fldChar w:fldCharType="end"/>
            </w:r>
          </w:hyperlink>
        </w:p>
        <w:p w14:paraId="59EC6FA0" w14:textId="1596731B" w:rsidR="0040681B" w:rsidRDefault="0040681B">
          <w:r>
            <w:rPr>
              <w:b/>
              <w:bCs/>
              <w:noProof/>
            </w:rPr>
            <w:fldChar w:fldCharType="end"/>
          </w:r>
        </w:p>
      </w:sdtContent>
    </w:sdt>
    <w:p w14:paraId="108BB0E4" w14:textId="02A10233" w:rsidR="001B0BDF" w:rsidRPr="001A60D6" w:rsidRDefault="001B0BDF" w:rsidP="3769FC2D">
      <w:pPr>
        <w:pStyle w:val="TOC2"/>
        <w:tabs>
          <w:tab w:val="right" w:leader="dot" w:pos="9360"/>
        </w:tabs>
        <w:rPr>
          <w:rStyle w:val="Hyperlink"/>
          <w:rFonts w:ascii="Aptos" w:hAnsi="Aptos"/>
          <w:noProof/>
          <w:sz w:val="22"/>
          <w:szCs w:val="22"/>
          <w:lang w:eastAsia="en-GB"/>
        </w:rPr>
      </w:pPr>
    </w:p>
    <w:p w14:paraId="6F597F98" w14:textId="77777777" w:rsidR="008359C6" w:rsidRPr="001A60D6" w:rsidRDefault="008359C6">
      <w:pPr>
        <w:rPr>
          <w:rFonts w:ascii="Aptos" w:hAnsi="Aptos"/>
          <w:color w:val="000000" w:themeColor="text1"/>
          <w:sz w:val="22"/>
          <w:szCs w:val="22"/>
        </w:rPr>
      </w:pPr>
    </w:p>
    <w:p w14:paraId="5780D883" w14:textId="77777777" w:rsidR="008359C6" w:rsidRPr="001A60D6" w:rsidRDefault="008359C6">
      <w:pPr>
        <w:rPr>
          <w:rFonts w:ascii="Aptos" w:eastAsiaTheme="majorEastAsia" w:hAnsi="Aptos" w:cstheme="majorBidi"/>
          <w:b/>
          <w:bCs/>
          <w:color w:val="000000" w:themeColor="text1"/>
          <w:sz w:val="22"/>
          <w:szCs w:val="22"/>
        </w:rPr>
      </w:pPr>
      <w:r w:rsidRPr="001A60D6">
        <w:rPr>
          <w:rFonts w:ascii="Aptos" w:hAnsi="Aptos"/>
          <w:color w:val="000000" w:themeColor="text1"/>
          <w:sz w:val="22"/>
          <w:szCs w:val="22"/>
        </w:rPr>
        <w:br w:type="page"/>
      </w:r>
    </w:p>
    <w:p w14:paraId="04FF01D2" w14:textId="77777777" w:rsidR="00FF2DC5" w:rsidRPr="001A60D6" w:rsidRDefault="007F3FAD">
      <w:pPr>
        <w:pStyle w:val="Heading1"/>
        <w:rPr>
          <w:rFonts w:ascii="Aptos" w:hAnsi="Aptos"/>
          <w:color w:val="000000" w:themeColor="text1"/>
        </w:rPr>
      </w:pPr>
      <w:bookmarkStart w:id="0" w:name="_Toc188625278"/>
      <w:r w:rsidRPr="1B9F46DA">
        <w:rPr>
          <w:rFonts w:ascii="Aptos" w:hAnsi="Aptos"/>
          <w:color w:val="000000" w:themeColor="text1"/>
        </w:rPr>
        <w:t>Protocol</w:t>
      </w:r>
      <w:r w:rsidR="00577725" w:rsidRPr="1B9F46DA">
        <w:rPr>
          <w:rFonts w:ascii="Aptos" w:hAnsi="Aptos"/>
          <w:color w:val="000000" w:themeColor="text1"/>
        </w:rPr>
        <w:t xml:space="preserve"> authors and study staff</w:t>
      </w:r>
      <w:bookmarkEnd w:id="0"/>
    </w:p>
    <w:p w14:paraId="45F57BCD" w14:textId="4378CB8A" w:rsidR="00FF2DC5" w:rsidRPr="001A60D6" w:rsidRDefault="00577725" w:rsidP="2551EC51">
      <w:pPr>
        <w:pStyle w:val="FirstParagraph"/>
        <w:rPr>
          <w:rFonts w:ascii="Aptos" w:hAnsi="Aptos"/>
          <w:color w:val="000000" w:themeColor="text1"/>
          <w:sz w:val="22"/>
          <w:szCs w:val="22"/>
        </w:rPr>
      </w:pPr>
      <w:r w:rsidRPr="001A60D6">
        <w:rPr>
          <w:rFonts w:ascii="Aptos" w:hAnsi="Aptos"/>
          <w:color w:val="000000" w:themeColor="text1"/>
          <w:sz w:val="22"/>
          <w:szCs w:val="22"/>
        </w:rPr>
        <w:t>This</w:t>
      </w:r>
      <w:r w:rsidR="006F178E" w:rsidRPr="001A60D6">
        <w:rPr>
          <w:rFonts w:ascii="Aptos" w:hAnsi="Aptos"/>
          <w:color w:val="000000" w:themeColor="text1"/>
          <w:sz w:val="22"/>
          <w:szCs w:val="22"/>
        </w:rPr>
        <w:t xml:space="preserve"> version of the</w:t>
      </w:r>
      <w:r w:rsidRPr="001A60D6">
        <w:rPr>
          <w:rFonts w:ascii="Aptos" w:hAnsi="Aptos"/>
          <w:color w:val="000000" w:themeColor="text1"/>
          <w:sz w:val="22"/>
          <w:szCs w:val="22"/>
        </w:rPr>
        <w:t xml:space="preserve"> protocol was written by:</w:t>
      </w:r>
    </w:p>
    <w:p w14:paraId="0C2537D7" w14:textId="6BC90AC2" w:rsidR="00DC6F3F" w:rsidRPr="001A60D6" w:rsidRDefault="2B46F50F" w:rsidP="612A2EF0">
      <w:pPr>
        <w:pStyle w:val="BodyText"/>
        <w:jc w:val="both"/>
        <w:rPr>
          <w:rFonts w:ascii="Aptos" w:hAnsi="Aptos"/>
          <w:color w:val="000000" w:themeColor="text1"/>
          <w:sz w:val="22"/>
          <w:szCs w:val="22"/>
        </w:rPr>
      </w:pPr>
      <w:r w:rsidRPr="001A60D6">
        <w:rPr>
          <w:rFonts w:ascii="Aptos" w:hAnsi="Aptos"/>
          <w:color w:val="000000" w:themeColor="text1"/>
          <w:sz w:val="22"/>
          <w:szCs w:val="22"/>
        </w:rPr>
        <w:t>Prof</w:t>
      </w:r>
      <w:r w:rsidR="740F8C7A" w:rsidRPr="001A60D6">
        <w:rPr>
          <w:rFonts w:ascii="Aptos" w:hAnsi="Aptos"/>
          <w:color w:val="000000" w:themeColor="text1"/>
          <w:sz w:val="22"/>
          <w:szCs w:val="22"/>
        </w:rPr>
        <w:t xml:space="preserve"> JK Baillie (</w:t>
      </w:r>
      <w:r w:rsidR="32DE2F1E" w:rsidRPr="001A60D6">
        <w:rPr>
          <w:rFonts w:ascii="Aptos" w:hAnsi="Aptos"/>
          <w:color w:val="000000" w:themeColor="text1"/>
          <w:sz w:val="22"/>
          <w:szCs w:val="22"/>
        </w:rPr>
        <w:t xml:space="preserve">UK </w:t>
      </w:r>
      <w:r w:rsidR="740F8C7A" w:rsidRPr="001A60D6">
        <w:rPr>
          <w:rFonts w:ascii="Aptos" w:hAnsi="Aptos"/>
          <w:color w:val="000000" w:themeColor="text1"/>
          <w:sz w:val="22"/>
          <w:szCs w:val="22"/>
        </w:rPr>
        <w:t xml:space="preserve">Chief Investigator, University of Edinburgh), Dr S Clohisey (University of Edinburgh), Ms F Griffiths (University of Edinburgh), Dr A Law (University of Edinburgh), , Dr N Parkinson (University of Edinburgh), </w:t>
      </w:r>
      <w:r w:rsidR="4D069D3D" w:rsidRPr="001A60D6">
        <w:rPr>
          <w:rFonts w:ascii="Aptos" w:hAnsi="Aptos"/>
          <w:color w:val="000000" w:themeColor="text1"/>
          <w:sz w:val="22"/>
          <w:szCs w:val="22"/>
        </w:rPr>
        <w:t>Mr</w:t>
      </w:r>
      <w:r w:rsidR="740F8C7A" w:rsidRPr="001A60D6">
        <w:rPr>
          <w:rFonts w:ascii="Aptos" w:hAnsi="Aptos"/>
          <w:color w:val="000000" w:themeColor="text1"/>
          <w:sz w:val="22"/>
          <w:szCs w:val="22"/>
        </w:rPr>
        <w:t xml:space="preserve"> L Murphy (University of Edinburgh)</w:t>
      </w:r>
      <w:r w:rsidR="006650FD" w:rsidRPr="001A60D6">
        <w:rPr>
          <w:rFonts w:ascii="Aptos" w:hAnsi="Aptos"/>
          <w:color w:val="000000" w:themeColor="text1"/>
          <w:sz w:val="22"/>
          <w:szCs w:val="22"/>
        </w:rPr>
        <w:t>,</w:t>
      </w:r>
      <w:r w:rsidR="006650FD" w:rsidRPr="001A60D6">
        <w:rPr>
          <w:rFonts w:ascii="Aptos" w:hAnsi="Aptos"/>
          <w:b/>
          <w:bCs/>
          <w:sz w:val="22"/>
          <w:szCs w:val="22"/>
        </w:rPr>
        <w:t xml:space="preserve"> </w:t>
      </w:r>
      <w:r w:rsidR="006650FD" w:rsidRPr="001A60D6">
        <w:rPr>
          <w:rFonts w:ascii="Aptos" w:hAnsi="Aptos"/>
          <w:b/>
          <w:bCs/>
          <w:color w:val="000000" w:themeColor="text1"/>
          <w:sz w:val="22"/>
          <w:szCs w:val="22"/>
        </w:rPr>
        <w:t>Mr Edward Rippingale-Combes (East Surrey Hospital).</w:t>
      </w:r>
    </w:p>
    <w:p w14:paraId="06CFB9AA" w14:textId="51A2BCE2" w:rsidR="1B9278F0" w:rsidRPr="001A60D6" w:rsidRDefault="1B9278F0" w:rsidP="169E8240">
      <w:pPr>
        <w:pStyle w:val="BodyText"/>
        <w:jc w:val="both"/>
        <w:rPr>
          <w:rFonts w:ascii="Aptos" w:hAnsi="Aptos"/>
          <w:color w:val="000000" w:themeColor="text1"/>
          <w:sz w:val="22"/>
          <w:szCs w:val="22"/>
        </w:rPr>
      </w:pPr>
      <w:r w:rsidRPr="001A60D6">
        <w:rPr>
          <w:rFonts w:ascii="Aptos" w:hAnsi="Aptos"/>
          <w:color w:val="000000" w:themeColor="text1"/>
          <w:sz w:val="22"/>
          <w:szCs w:val="22"/>
        </w:rPr>
        <w:t>GenOMICC Consortium Lead – Professor J Kenneth Baillie</w:t>
      </w:r>
    </w:p>
    <w:p w14:paraId="2E51C902" w14:textId="0E89C948" w:rsidR="0033115C" w:rsidRPr="001A60D6" w:rsidRDefault="0033115C" w:rsidP="0033115C">
      <w:pPr>
        <w:pStyle w:val="BodyText"/>
        <w:rPr>
          <w:rFonts w:ascii="Aptos" w:hAnsi="Aptos"/>
          <w:sz w:val="22"/>
          <w:szCs w:val="22"/>
        </w:rPr>
      </w:pPr>
      <w:r w:rsidRPr="001A60D6">
        <w:rPr>
          <w:rFonts w:ascii="Aptos" w:hAnsi="Aptos"/>
          <w:sz w:val="22"/>
          <w:szCs w:val="22"/>
        </w:rPr>
        <w:t>Principal Investigator: [</w:t>
      </w:r>
      <w:r w:rsidRPr="001A60D6">
        <w:rPr>
          <w:rFonts w:ascii="Aptos" w:hAnsi="Aptos"/>
          <w:sz w:val="22"/>
          <w:szCs w:val="22"/>
          <w:highlight w:val="yellow"/>
        </w:rPr>
        <w:t>Enter details of international Centre principal investigator</w:t>
      </w:r>
      <w:r w:rsidRPr="001A60D6">
        <w:rPr>
          <w:rFonts w:ascii="Aptos" w:hAnsi="Aptos"/>
          <w:sz w:val="22"/>
          <w:szCs w:val="22"/>
        </w:rPr>
        <w:t>]</w:t>
      </w:r>
    </w:p>
    <w:p w14:paraId="35CBD45A" w14:textId="6B483BCD" w:rsidR="00FF2DC5" w:rsidRPr="001A60D6" w:rsidRDefault="00577725">
      <w:pPr>
        <w:pStyle w:val="BodyText"/>
        <w:rPr>
          <w:rFonts w:ascii="Aptos" w:hAnsi="Aptos"/>
          <w:sz w:val="22"/>
          <w:szCs w:val="22"/>
        </w:rPr>
      </w:pPr>
      <w:r w:rsidRPr="001A60D6">
        <w:rPr>
          <w:rFonts w:ascii="Aptos" w:hAnsi="Aptos"/>
          <w:color w:val="000000" w:themeColor="text1"/>
          <w:sz w:val="22"/>
          <w:szCs w:val="22"/>
        </w:rPr>
        <w:t xml:space="preserve">Study Coordinator: </w:t>
      </w:r>
      <w:r w:rsidR="0033115C" w:rsidRPr="001A60D6">
        <w:rPr>
          <w:rFonts w:ascii="Aptos" w:hAnsi="Aptos"/>
          <w:sz w:val="22"/>
          <w:szCs w:val="22"/>
          <w:highlight w:val="yellow"/>
        </w:rPr>
        <w:t>[Enter details of international Centre study coordinator if applicable</w:t>
      </w:r>
      <w:r w:rsidR="0033115C" w:rsidRPr="001A60D6">
        <w:rPr>
          <w:rFonts w:ascii="Aptos" w:hAnsi="Aptos"/>
          <w:sz w:val="22"/>
          <w:szCs w:val="22"/>
        </w:rPr>
        <w:t>]</w:t>
      </w:r>
    </w:p>
    <w:p w14:paraId="77F6A395" w14:textId="3B2454F6" w:rsidR="00FF2DC5" w:rsidRPr="001A60D6" w:rsidRDefault="32269C7D" w:rsidP="169E8240">
      <w:pPr>
        <w:pStyle w:val="BodyText"/>
        <w:rPr>
          <w:rFonts w:ascii="Aptos" w:hAnsi="Aptos"/>
          <w:sz w:val="22"/>
          <w:szCs w:val="22"/>
        </w:rPr>
      </w:pPr>
      <w:r w:rsidRPr="001A60D6">
        <w:rPr>
          <w:rFonts w:ascii="Aptos" w:hAnsi="Aptos"/>
          <w:color w:val="000000" w:themeColor="text1"/>
          <w:sz w:val="22"/>
          <w:szCs w:val="22"/>
        </w:rPr>
        <w:t xml:space="preserve">Sponsors: </w:t>
      </w:r>
      <w:r w:rsidR="730311DE" w:rsidRPr="001A60D6">
        <w:rPr>
          <w:rFonts w:ascii="Aptos" w:hAnsi="Aptos"/>
          <w:sz w:val="22"/>
          <w:szCs w:val="22"/>
        </w:rPr>
        <w:t>[</w:t>
      </w:r>
      <w:r w:rsidR="730311DE" w:rsidRPr="001A60D6">
        <w:rPr>
          <w:rFonts w:ascii="Aptos" w:hAnsi="Aptos"/>
          <w:sz w:val="22"/>
          <w:szCs w:val="22"/>
          <w:highlight w:val="yellow"/>
        </w:rPr>
        <w:t>Enter Sponsor details for international Centre</w:t>
      </w:r>
      <w:r w:rsidR="730311DE" w:rsidRPr="001A60D6">
        <w:rPr>
          <w:rFonts w:ascii="Aptos" w:hAnsi="Aptos"/>
          <w:sz w:val="22"/>
          <w:szCs w:val="22"/>
        </w:rPr>
        <w:t>]</w:t>
      </w:r>
    </w:p>
    <w:p w14:paraId="3E384BA5" w14:textId="772A5464" w:rsidR="00FF2DC5" w:rsidRPr="001A60D6" w:rsidRDefault="32269C7D">
      <w:pPr>
        <w:pStyle w:val="Heading1"/>
        <w:rPr>
          <w:rFonts w:ascii="Aptos" w:hAnsi="Aptos"/>
          <w:color w:val="000000" w:themeColor="text1"/>
        </w:rPr>
      </w:pPr>
      <w:bookmarkStart w:id="1" w:name="aims"/>
      <w:bookmarkStart w:id="2" w:name="_Toc188625279"/>
      <w:r w:rsidRPr="1B9F46DA">
        <w:rPr>
          <w:rFonts w:ascii="Aptos" w:hAnsi="Aptos"/>
          <w:color w:val="000000" w:themeColor="text1"/>
        </w:rPr>
        <w:t>Aims</w:t>
      </w:r>
      <w:bookmarkEnd w:id="1"/>
      <w:bookmarkEnd w:id="2"/>
    </w:p>
    <w:p w14:paraId="10BAC8AB" w14:textId="5B3C1F24" w:rsidR="00FF2DC5" w:rsidRPr="001A60D6" w:rsidRDefault="00577725" w:rsidP="00DC4050">
      <w:pPr>
        <w:rPr>
          <w:rFonts w:ascii="Aptos" w:hAnsi="Aptos"/>
          <w:color w:val="000000" w:themeColor="text1"/>
          <w:sz w:val="22"/>
          <w:szCs w:val="22"/>
        </w:rPr>
      </w:pPr>
      <w:r w:rsidRPr="001A60D6">
        <w:rPr>
          <w:rFonts w:ascii="Aptos" w:hAnsi="Aptos"/>
          <w:color w:val="000000" w:themeColor="text1"/>
          <w:sz w:val="22"/>
          <w:szCs w:val="22"/>
        </w:rPr>
        <w:t>To identify host genetic variants associated with susceptibility to, and mortality from, life-threatening infection and sterile injury.</w:t>
      </w:r>
    </w:p>
    <w:p w14:paraId="68B105C9" w14:textId="77777777" w:rsidR="00FF2DC5" w:rsidRPr="001A60D6" w:rsidRDefault="00577725" w:rsidP="00DC4050">
      <w:pPr>
        <w:rPr>
          <w:rFonts w:ascii="Aptos" w:hAnsi="Aptos"/>
          <w:color w:val="000000" w:themeColor="text1"/>
          <w:sz w:val="22"/>
          <w:szCs w:val="22"/>
        </w:rPr>
      </w:pPr>
      <w:r w:rsidRPr="001A60D6">
        <w:rPr>
          <w:rFonts w:ascii="Aptos" w:hAnsi="Aptos"/>
          <w:color w:val="000000" w:themeColor="text1"/>
          <w:sz w:val="22"/>
          <w:szCs w:val="22"/>
        </w:rPr>
        <w:t>To prioritise therapeutic targets with which to modulate the host response to injury and infection in patients with life-threatening disease.</w:t>
      </w:r>
    </w:p>
    <w:p w14:paraId="6A37DCAA" w14:textId="77777777" w:rsidR="00FF2DC5" w:rsidRPr="001A60D6" w:rsidRDefault="00577725">
      <w:pPr>
        <w:pStyle w:val="Heading1"/>
        <w:rPr>
          <w:rFonts w:ascii="Aptos" w:hAnsi="Aptos"/>
          <w:color w:val="000000" w:themeColor="text1"/>
        </w:rPr>
      </w:pPr>
      <w:bookmarkStart w:id="3" w:name="objectives"/>
      <w:bookmarkStart w:id="4" w:name="_Toc188625280"/>
      <w:r w:rsidRPr="1B9F46DA">
        <w:rPr>
          <w:rFonts w:ascii="Aptos" w:hAnsi="Aptos"/>
          <w:color w:val="000000" w:themeColor="text1"/>
        </w:rPr>
        <w:t>Objectives</w:t>
      </w:r>
      <w:bookmarkEnd w:id="3"/>
      <w:bookmarkEnd w:id="4"/>
    </w:p>
    <w:p w14:paraId="7C194E21" w14:textId="43ACB677" w:rsidR="00FF2DC5" w:rsidRPr="001A60D6" w:rsidRDefault="00577725" w:rsidP="00CA6DA3">
      <w:pPr>
        <w:pStyle w:val="FirstParagraph"/>
        <w:jc w:val="both"/>
        <w:rPr>
          <w:rFonts w:ascii="Aptos" w:hAnsi="Aptos"/>
          <w:color w:val="000000" w:themeColor="text1"/>
          <w:sz w:val="22"/>
          <w:szCs w:val="22"/>
        </w:rPr>
      </w:pPr>
      <w:r w:rsidRPr="001A60D6">
        <w:rPr>
          <w:rFonts w:ascii="Aptos" w:hAnsi="Aptos"/>
          <w:color w:val="000000" w:themeColor="text1"/>
          <w:sz w:val="22"/>
          <w:szCs w:val="22"/>
        </w:rPr>
        <w:t xml:space="preserve">We will work within the International Severe Acute Respiratory Infection Consortium (ISARIC) and International Forum of Acute Care Trialists (InFACT), two global initiatives, to establish a prospective DNA resource for hypothesis-testing and genome-wide discovery of host genetic variants underlying susceptibility </w:t>
      </w:r>
      <w:r w:rsidR="00213589" w:rsidRPr="001A60D6">
        <w:rPr>
          <w:rFonts w:ascii="Aptos" w:hAnsi="Aptos"/>
          <w:color w:val="000000" w:themeColor="text1"/>
          <w:sz w:val="22"/>
          <w:szCs w:val="22"/>
        </w:rPr>
        <w:t>to,</w:t>
      </w:r>
      <w:r w:rsidRPr="001A60D6">
        <w:rPr>
          <w:rFonts w:ascii="Aptos" w:hAnsi="Aptos"/>
          <w:color w:val="000000" w:themeColor="text1"/>
          <w:sz w:val="22"/>
          <w:szCs w:val="22"/>
        </w:rPr>
        <w:t xml:space="preserve"> and outcome from </w:t>
      </w:r>
      <w:r w:rsidR="00164684" w:rsidRPr="001A60D6">
        <w:rPr>
          <w:rFonts w:ascii="Aptos" w:hAnsi="Aptos"/>
          <w:color w:val="000000" w:themeColor="text1"/>
          <w:sz w:val="22"/>
          <w:szCs w:val="22"/>
        </w:rPr>
        <w:t xml:space="preserve">severe infection and </w:t>
      </w:r>
      <w:r w:rsidRPr="001A60D6">
        <w:rPr>
          <w:rFonts w:ascii="Aptos" w:hAnsi="Aptos"/>
          <w:color w:val="000000" w:themeColor="text1"/>
          <w:sz w:val="22"/>
          <w:szCs w:val="22"/>
        </w:rPr>
        <w:t xml:space="preserve">life-threatening systemic injury. </w:t>
      </w:r>
    </w:p>
    <w:p w14:paraId="3A20A354" w14:textId="77777777" w:rsidR="002F001C" w:rsidRPr="001A60D6" w:rsidRDefault="006265C7" w:rsidP="00E130C4">
      <w:pPr>
        <w:pStyle w:val="Heading2"/>
        <w:rPr>
          <w:rFonts w:ascii="Aptos" w:hAnsi="Aptos"/>
        </w:rPr>
      </w:pPr>
      <w:bookmarkStart w:id="5" w:name="_Toc188625281"/>
      <w:r w:rsidRPr="1B9F46DA">
        <w:rPr>
          <w:rFonts w:ascii="Aptos" w:hAnsi="Aptos"/>
        </w:rPr>
        <w:t>RECRUITMENT FROM CRITICAL CARE</w:t>
      </w:r>
      <w:bookmarkEnd w:id="5"/>
    </w:p>
    <w:p w14:paraId="370DDF24" w14:textId="50AC20C8" w:rsidR="00FF2DC5" w:rsidRPr="001A60D6" w:rsidRDefault="00116238" w:rsidP="00CB05BF">
      <w:pPr>
        <w:jc w:val="both"/>
        <w:rPr>
          <w:rFonts w:ascii="Aptos" w:hAnsi="Aptos"/>
          <w:color w:val="000000" w:themeColor="text1"/>
          <w:sz w:val="22"/>
          <w:szCs w:val="22"/>
        </w:rPr>
      </w:pPr>
      <w:r w:rsidRPr="001A60D6">
        <w:rPr>
          <w:rFonts w:ascii="Aptos" w:hAnsi="Aptos"/>
          <w:color w:val="000000" w:themeColor="text1"/>
          <w:sz w:val="22"/>
          <w:szCs w:val="22"/>
        </w:rPr>
        <w:t>We will obtain samples</w:t>
      </w:r>
      <w:r w:rsidR="004A0892" w:rsidRPr="001A60D6">
        <w:rPr>
          <w:rFonts w:ascii="Aptos" w:hAnsi="Aptos"/>
          <w:color w:val="000000" w:themeColor="text1"/>
          <w:sz w:val="22"/>
          <w:szCs w:val="22"/>
        </w:rPr>
        <w:t xml:space="preserve"> from patients with</w:t>
      </w:r>
      <w:r w:rsidR="00522A1A" w:rsidRPr="001A60D6">
        <w:rPr>
          <w:rFonts w:ascii="Aptos" w:hAnsi="Aptos"/>
          <w:color w:val="000000" w:themeColor="text1"/>
          <w:sz w:val="22"/>
          <w:szCs w:val="22"/>
        </w:rPr>
        <w:t xml:space="preserve"> </w:t>
      </w:r>
      <w:r w:rsidR="00D00E56" w:rsidRPr="001A60D6">
        <w:rPr>
          <w:rFonts w:ascii="Aptos" w:hAnsi="Aptos"/>
          <w:color w:val="000000" w:themeColor="text1"/>
          <w:sz w:val="22"/>
          <w:szCs w:val="22"/>
        </w:rPr>
        <w:t>critical illness caused by infection</w:t>
      </w:r>
      <w:r w:rsidR="00D10E61" w:rsidRPr="001A60D6">
        <w:rPr>
          <w:rFonts w:ascii="Aptos" w:hAnsi="Aptos"/>
          <w:color w:val="000000" w:themeColor="text1"/>
          <w:sz w:val="22"/>
          <w:szCs w:val="22"/>
        </w:rPr>
        <w:t xml:space="preserve">, </w:t>
      </w:r>
      <w:r w:rsidR="00522A1A" w:rsidRPr="001A60D6">
        <w:rPr>
          <w:rFonts w:ascii="Aptos" w:hAnsi="Aptos"/>
          <w:color w:val="000000" w:themeColor="text1"/>
          <w:sz w:val="22"/>
          <w:szCs w:val="22"/>
        </w:rPr>
        <w:t>specific outbreaks and exposures of public health interest</w:t>
      </w:r>
      <w:r w:rsidR="00577725" w:rsidRPr="001A60D6">
        <w:rPr>
          <w:rFonts w:ascii="Aptos" w:hAnsi="Aptos"/>
          <w:color w:val="000000" w:themeColor="text1"/>
          <w:sz w:val="22"/>
          <w:szCs w:val="22"/>
        </w:rPr>
        <w:t>, and</w:t>
      </w:r>
      <w:r w:rsidR="00E130C4" w:rsidRPr="001A60D6">
        <w:rPr>
          <w:rFonts w:ascii="Aptos" w:hAnsi="Aptos"/>
          <w:color w:val="000000" w:themeColor="text1"/>
          <w:sz w:val="22"/>
          <w:szCs w:val="22"/>
        </w:rPr>
        <w:t xml:space="preserve"> </w:t>
      </w:r>
      <w:r w:rsidR="00577725" w:rsidRPr="001A60D6">
        <w:rPr>
          <w:rFonts w:ascii="Aptos" w:hAnsi="Aptos"/>
          <w:color w:val="000000" w:themeColor="text1"/>
          <w:sz w:val="22"/>
          <w:szCs w:val="22"/>
        </w:rPr>
        <w:t>quantifiable sterile injury.</w:t>
      </w:r>
    </w:p>
    <w:p w14:paraId="7BBFE63E" w14:textId="25184CA4" w:rsidR="009F256D" w:rsidRPr="001A60D6" w:rsidRDefault="0067117C" w:rsidP="00CB05BF">
      <w:pPr>
        <w:pStyle w:val="BodyText"/>
        <w:jc w:val="both"/>
        <w:rPr>
          <w:rFonts w:ascii="Aptos" w:hAnsi="Aptos"/>
          <w:sz w:val="22"/>
          <w:szCs w:val="22"/>
        </w:rPr>
      </w:pPr>
      <w:r w:rsidRPr="001A60D6">
        <w:rPr>
          <w:rFonts w:ascii="Aptos" w:hAnsi="Aptos"/>
          <w:sz w:val="22"/>
          <w:szCs w:val="22"/>
        </w:rPr>
        <w:t>Participants group may be recruited prospectively during their illness, or retrospectively following discharge</w:t>
      </w:r>
      <w:r w:rsidR="00E92C29" w:rsidRPr="001A60D6">
        <w:rPr>
          <w:rFonts w:ascii="Aptos" w:hAnsi="Aptos"/>
          <w:sz w:val="22"/>
          <w:szCs w:val="22"/>
        </w:rPr>
        <w:t>,</w:t>
      </w:r>
      <w:r w:rsidR="00EA1888" w:rsidRPr="001A60D6">
        <w:rPr>
          <w:rFonts w:ascii="Aptos" w:hAnsi="Aptos"/>
          <w:sz w:val="22"/>
          <w:szCs w:val="22"/>
        </w:rPr>
        <w:t xml:space="preserve"> from </w:t>
      </w:r>
      <w:r w:rsidR="00613665" w:rsidRPr="001A60D6">
        <w:rPr>
          <w:rFonts w:ascii="Aptos" w:hAnsi="Aptos"/>
          <w:sz w:val="22"/>
          <w:szCs w:val="22"/>
        </w:rPr>
        <w:t>hospital</w:t>
      </w:r>
      <w:r w:rsidR="00EA1888" w:rsidRPr="001A60D6">
        <w:rPr>
          <w:rFonts w:ascii="Aptos" w:hAnsi="Aptos"/>
          <w:sz w:val="22"/>
          <w:szCs w:val="22"/>
        </w:rPr>
        <w:t>.</w:t>
      </w:r>
    </w:p>
    <w:p w14:paraId="08BA06B7" w14:textId="7BD6798C" w:rsidR="00FD5D2F" w:rsidRPr="001A60D6" w:rsidRDefault="00FD5D2F" w:rsidP="003536B7">
      <w:pPr>
        <w:pStyle w:val="Heading2"/>
        <w:rPr>
          <w:rFonts w:ascii="Aptos" w:hAnsi="Aptos"/>
        </w:rPr>
      </w:pPr>
      <w:bookmarkStart w:id="6" w:name="_Toc188625282"/>
      <w:r w:rsidRPr="1B9F46DA">
        <w:rPr>
          <w:rFonts w:ascii="Aptos" w:hAnsi="Aptos"/>
        </w:rPr>
        <w:t>OTHER RECRUITMENT</w:t>
      </w:r>
      <w:bookmarkEnd w:id="6"/>
    </w:p>
    <w:p w14:paraId="163AB46E" w14:textId="2CCB1317" w:rsidR="00FD5D2F" w:rsidRPr="001A60D6" w:rsidRDefault="00FD5D2F" w:rsidP="009F256D">
      <w:pPr>
        <w:pStyle w:val="BodyText"/>
        <w:rPr>
          <w:rFonts w:ascii="Aptos" w:hAnsi="Aptos"/>
          <w:sz w:val="22"/>
          <w:szCs w:val="22"/>
        </w:rPr>
      </w:pPr>
      <w:r w:rsidRPr="001A60D6">
        <w:rPr>
          <w:rFonts w:ascii="Aptos" w:hAnsi="Aptos"/>
          <w:sz w:val="22"/>
          <w:szCs w:val="22"/>
        </w:rPr>
        <w:t>We will also</w:t>
      </w:r>
      <w:r w:rsidR="00FA271C" w:rsidRPr="001A60D6">
        <w:rPr>
          <w:rFonts w:ascii="Aptos" w:hAnsi="Aptos"/>
          <w:sz w:val="22"/>
          <w:szCs w:val="22"/>
        </w:rPr>
        <w:t xml:space="preserve"> recruit the following additional groups, but only when deemed necessary</w:t>
      </w:r>
      <w:r w:rsidR="00FE4AF3" w:rsidRPr="001A60D6">
        <w:rPr>
          <w:rFonts w:ascii="Aptos" w:hAnsi="Aptos"/>
          <w:sz w:val="22"/>
          <w:szCs w:val="22"/>
        </w:rPr>
        <w:t xml:space="preserve"> for specific analyses planned by the Chief Investigator in consultation with </w:t>
      </w:r>
      <w:r w:rsidR="002866DA" w:rsidRPr="001A60D6">
        <w:rPr>
          <w:rFonts w:ascii="Aptos" w:hAnsi="Aptos"/>
          <w:sz w:val="22"/>
          <w:szCs w:val="22"/>
        </w:rPr>
        <w:t>the study</w:t>
      </w:r>
      <w:r w:rsidR="00EA3717" w:rsidRPr="001A60D6">
        <w:rPr>
          <w:rFonts w:ascii="Aptos" w:hAnsi="Aptos"/>
          <w:sz w:val="22"/>
          <w:szCs w:val="22"/>
        </w:rPr>
        <w:t xml:space="preserve"> steering committee:</w:t>
      </w:r>
    </w:p>
    <w:p w14:paraId="2BB14DA1" w14:textId="3040F1D1" w:rsidR="00F5088A" w:rsidRPr="001A60D6" w:rsidRDefault="00F5088A" w:rsidP="003536B7">
      <w:pPr>
        <w:pStyle w:val="BodyText"/>
        <w:numPr>
          <w:ilvl w:val="0"/>
          <w:numId w:val="46"/>
        </w:numPr>
        <w:rPr>
          <w:rFonts w:ascii="Aptos" w:hAnsi="Aptos"/>
          <w:sz w:val="22"/>
          <w:szCs w:val="22"/>
        </w:rPr>
      </w:pPr>
      <w:r w:rsidRPr="001A60D6">
        <w:rPr>
          <w:rFonts w:ascii="Aptos" w:hAnsi="Aptos"/>
          <w:sz w:val="22"/>
          <w:szCs w:val="22"/>
        </w:rPr>
        <w:t>Parents of patients: we will obtain DNA from parents of patients – in collaboration with research sites where necessary – in the following circumstances:</w:t>
      </w:r>
    </w:p>
    <w:p w14:paraId="4BFBEEE8" w14:textId="4689A848" w:rsidR="00F5088A" w:rsidRPr="001A60D6" w:rsidRDefault="00F5088A" w:rsidP="00CA6DA3">
      <w:pPr>
        <w:pStyle w:val="BodyText"/>
        <w:numPr>
          <w:ilvl w:val="1"/>
          <w:numId w:val="33"/>
        </w:numPr>
        <w:rPr>
          <w:rFonts w:ascii="Aptos" w:hAnsi="Aptos"/>
          <w:sz w:val="22"/>
          <w:szCs w:val="22"/>
        </w:rPr>
      </w:pPr>
      <w:r w:rsidRPr="001A60D6">
        <w:rPr>
          <w:rFonts w:ascii="Aptos" w:hAnsi="Aptos"/>
          <w:sz w:val="22"/>
          <w:szCs w:val="22"/>
        </w:rPr>
        <w:t xml:space="preserve">Where the patient’s presentation suggests an extreme susceptibility to eligible syndromes (e.g., those under 40 and free from significant comorbidity) </w:t>
      </w:r>
    </w:p>
    <w:p w14:paraId="1B0916D2" w14:textId="2A09A554" w:rsidR="00F5088A" w:rsidRPr="001A60D6" w:rsidRDefault="00F5088A" w:rsidP="00F5088A">
      <w:pPr>
        <w:pStyle w:val="BodyText"/>
        <w:numPr>
          <w:ilvl w:val="1"/>
          <w:numId w:val="33"/>
        </w:numPr>
        <w:rPr>
          <w:rFonts w:ascii="Aptos" w:hAnsi="Aptos"/>
          <w:sz w:val="22"/>
          <w:szCs w:val="22"/>
        </w:rPr>
      </w:pPr>
      <w:r w:rsidRPr="001A60D6">
        <w:rPr>
          <w:rFonts w:ascii="Aptos" w:hAnsi="Aptos"/>
          <w:sz w:val="22"/>
          <w:szCs w:val="22"/>
        </w:rPr>
        <w:t>Where the patient is affected by an illness, syndrome or condition of public health concern</w:t>
      </w:r>
    </w:p>
    <w:p w14:paraId="46BD3647" w14:textId="72261B8C" w:rsidR="00F5088A" w:rsidRPr="001A60D6" w:rsidRDefault="00F5088A" w:rsidP="007C43B3">
      <w:pPr>
        <w:pStyle w:val="BodyText"/>
        <w:numPr>
          <w:ilvl w:val="1"/>
          <w:numId w:val="33"/>
        </w:numPr>
        <w:ind w:left="426" w:firstLine="0"/>
        <w:rPr>
          <w:rFonts w:ascii="Aptos" w:hAnsi="Aptos"/>
          <w:sz w:val="22"/>
          <w:szCs w:val="22"/>
        </w:rPr>
      </w:pPr>
      <w:r w:rsidRPr="001A60D6">
        <w:rPr>
          <w:rFonts w:ascii="Aptos" w:hAnsi="Aptos"/>
          <w:sz w:val="22"/>
          <w:szCs w:val="22"/>
        </w:rPr>
        <w:t>Control groups and volunteers: we will obtain DNA samples, where possible, from appropriate comparison or control groups including volunteers from within the community</w:t>
      </w:r>
    </w:p>
    <w:p w14:paraId="63EBBBFB" w14:textId="1ED02E11" w:rsidR="00FD5D2F" w:rsidRPr="001A60D6" w:rsidRDefault="00F5088A" w:rsidP="009F256D">
      <w:pPr>
        <w:pStyle w:val="BodyText"/>
        <w:rPr>
          <w:rFonts w:ascii="Aptos" w:hAnsi="Aptos"/>
          <w:sz w:val="22"/>
          <w:szCs w:val="22"/>
        </w:rPr>
      </w:pPr>
      <w:r w:rsidRPr="001A60D6">
        <w:rPr>
          <w:rFonts w:ascii="Aptos" w:hAnsi="Aptos"/>
          <w:sz w:val="22"/>
          <w:szCs w:val="22"/>
        </w:rPr>
        <w:t>Recruitment of these groups will be co-ordinated and communicated to recruiting sites directly by the GenOMICC central management team.</w:t>
      </w:r>
    </w:p>
    <w:p w14:paraId="2F6AEE75" w14:textId="2B44886E" w:rsidR="00507638" w:rsidRPr="001A60D6" w:rsidRDefault="009F773F" w:rsidP="009B1620">
      <w:pPr>
        <w:pStyle w:val="Heading2"/>
        <w:rPr>
          <w:rFonts w:ascii="Aptos" w:hAnsi="Aptos"/>
        </w:rPr>
      </w:pPr>
      <w:bookmarkStart w:id="7" w:name="_Toc188625283"/>
      <w:r w:rsidRPr="1B9F46DA">
        <w:rPr>
          <w:rFonts w:ascii="Aptos" w:hAnsi="Aptos"/>
        </w:rPr>
        <w:t>DATA MANAGEMENT OBJECTIVES</w:t>
      </w:r>
      <w:bookmarkEnd w:id="7"/>
    </w:p>
    <w:p w14:paraId="0BF0CE9D" w14:textId="560EA071" w:rsidR="00FF2DC5" w:rsidRPr="001A60D6" w:rsidRDefault="00577725" w:rsidP="00CA6DA3">
      <w:pPr>
        <w:pStyle w:val="BodyText"/>
        <w:numPr>
          <w:ilvl w:val="0"/>
          <w:numId w:val="32"/>
        </w:numPr>
        <w:jc w:val="both"/>
        <w:rPr>
          <w:rFonts w:ascii="Aptos" w:hAnsi="Aptos"/>
          <w:color w:val="000000" w:themeColor="text1"/>
          <w:sz w:val="22"/>
          <w:szCs w:val="22"/>
        </w:rPr>
      </w:pPr>
      <w:r w:rsidRPr="001A60D6">
        <w:rPr>
          <w:rFonts w:ascii="Aptos" w:hAnsi="Aptos"/>
          <w:color w:val="000000" w:themeColor="text1"/>
          <w:sz w:val="22"/>
          <w:szCs w:val="22"/>
        </w:rPr>
        <w:t xml:space="preserve">Combine existing DNA resources in a virtual collaborative network to enable rapid hypothesis-testing of </w:t>
      </w:r>
      <w:r w:rsidR="009F773F" w:rsidRPr="001A60D6">
        <w:rPr>
          <w:rFonts w:ascii="Aptos" w:hAnsi="Aptos"/>
          <w:color w:val="000000" w:themeColor="text1"/>
          <w:sz w:val="22"/>
          <w:szCs w:val="22"/>
        </w:rPr>
        <w:t>disease</w:t>
      </w:r>
      <w:r w:rsidR="00410BCD" w:rsidRPr="001A60D6">
        <w:rPr>
          <w:rFonts w:ascii="Aptos" w:hAnsi="Aptos"/>
          <w:color w:val="000000" w:themeColor="text1"/>
          <w:sz w:val="22"/>
          <w:szCs w:val="22"/>
        </w:rPr>
        <w:t xml:space="preserve">-associated </w:t>
      </w:r>
      <w:r w:rsidRPr="001A60D6">
        <w:rPr>
          <w:rFonts w:ascii="Aptos" w:hAnsi="Aptos"/>
          <w:color w:val="000000" w:themeColor="text1"/>
          <w:sz w:val="22"/>
          <w:szCs w:val="22"/>
        </w:rPr>
        <w:t>variants</w:t>
      </w:r>
      <w:r w:rsidR="00CF207E" w:rsidRPr="001A60D6">
        <w:rPr>
          <w:rFonts w:ascii="Aptos" w:hAnsi="Aptos"/>
          <w:color w:val="000000" w:themeColor="text1"/>
          <w:sz w:val="22"/>
          <w:szCs w:val="22"/>
        </w:rPr>
        <w:t>.</w:t>
      </w:r>
    </w:p>
    <w:p w14:paraId="1B4104FA" w14:textId="3846F059" w:rsidR="001D633C" w:rsidRPr="001A60D6" w:rsidRDefault="001D633C" w:rsidP="00CA6DA3">
      <w:pPr>
        <w:pStyle w:val="BodyText"/>
        <w:numPr>
          <w:ilvl w:val="0"/>
          <w:numId w:val="32"/>
        </w:numPr>
        <w:jc w:val="both"/>
        <w:rPr>
          <w:rFonts w:ascii="Aptos" w:hAnsi="Aptos"/>
          <w:color w:val="000000" w:themeColor="text1"/>
          <w:sz w:val="22"/>
          <w:szCs w:val="22"/>
        </w:rPr>
      </w:pPr>
      <w:r w:rsidRPr="001A60D6">
        <w:rPr>
          <w:rFonts w:ascii="Aptos" w:hAnsi="Aptos"/>
          <w:color w:val="000000" w:themeColor="text1"/>
          <w:sz w:val="22"/>
          <w:szCs w:val="22"/>
        </w:rPr>
        <w:t xml:space="preserve">Establish and continually replenish a small cohort of individuals with known profound susceptibility to specific pathogens, who will be invited to provide repeat samples for </w:t>
      </w:r>
      <w:r w:rsidRPr="001A60D6">
        <w:rPr>
          <w:rFonts w:ascii="Aptos" w:hAnsi="Aptos"/>
          <w:i/>
          <w:color w:val="000000" w:themeColor="text1"/>
          <w:sz w:val="22"/>
          <w:szCs w:val="22"/>
        </w:rPr>
        <w:t>in vitro</w:t>
      </w:r>
      <w:r w:rsidRPr="001A60D6">
        <w:rPr>
          <w:rFonts w:ascii="Aptos" w:hAnsi="Aptos"/>
          <w:color w:val="000000" w:themeColor="text1"/>
          <w:sz w:val="22"/>
          <w:szCs w:val="22"/>
        </w:rPr>
        <w:t xml:space="preserve"> studies of cellular responses to relevant stimuli</w:t>
      </w:r>
      <w:r w:rsidR="008E0552">
        <w:rPr>
          <w:rFonts w:ascii="Aptos" w:hAnsi="Aptos"/>
          <w:color w:val="000000" w:themeColor="text1"/>
          <w:sz w:val="22"/>
          <w:szCs w:val="22"/>
        </w:rPr>
        <w:t>.</w:t>
      </w:r>
    </w:p>
    <w:p w14:paraId="339431AD" w14:textId="039FA7E1" w:rsidR="00C040AD" w:rsidRPr="001A60D6" w:rsidRDefault="00C040AD" w:rsidP="00CA6DA3">
      <w:pPr>
        <w:pStyle w:val="BodyText"/>
        <w:numPr>
          <w:ilvl w:val="0"/>
          <w:numId w:val="32"/>
        </w:numPr>
        <w:jc w:val="both"/>
        <w:rPr>
          <w:rFonts w:ascii="Aptos" w:hAnsi="Aptos"/>
          <w:color w:val="000000" w:themeColor="text1"/>
          <w:sz w:val="22"/>
          <w:szCs w:val="22"/>
        </w:rPr>
      </w:pPr>
      <w:r w:rsidRPr="001A60D6">
        <w:rPr>
          <w:rFonts w:ascii="Aptos" w:hAnsi="Aptos"/>
          <w:color w:val="000000" w:themeColor="text1"/>
          <w:sz w:val="22"/>
          <w:szCs w:val="22"/>
        </w:rPr>
        <w:t xml:space="preserve">Where appropriate and implementable, allow return of clinically relevant information to the </w:t>
      </w:r>
      <w:r w:rsidR="00E17D0D" w:rsidRPr="001A60D6">
        <w:rPr>
          <w:rFonts w:ascii="Aptos" w:hAnsi="Aptos"/>
          <w:color w:val="000000" w:themeColor="text1"/>
          <w:sz w:val="22"/>
          <w:szCs w:val="22"/>
        </w:rPr>
        <w:t>appropriate healthcare provider</w:t>
      </w:r>
      <w:r w:rsidRPr="001A60D6">
        <w:rPr>
          <w:rFonts w:ascii="Aptos" w:hAnsi="Aptos"/>
          <w:color w:val="000000" w:themeColor="text1"/>
          <w:sz w:val="22"/>
          <w:szCs w:val="22"/>
        </w:rPr>
        <w:t xml:space="preserve"> regarding participants.</w:t>
      </w:r>
    </w:p>
    <w:p w14:paraId="4B48ED43" w14:textId="1EC7DEF1" w:rsidR="00D44633" w:rsidRPr="001A60D6" w:rsidRDefault="00C040AD" w:rsidP="00CA6DA3">
      <w:pPr>
        <w:pStyle w:val="BodyText"/>
        <w:numPr>
          <w:ilvl w:val="0"/>
          <w:numId w:val="32"/>
        </w:numPr>
        <w:jc w:val="both"/>
        <w:rPr>
          <w:rFonts w:ascii="Aptos" w:hAnsi="Aptos"/>
          <w:color w:val="000000" w:themeColor="text1"/>
          <w:sz w:val="22"/>
          <w:szCs w:val="22"/>
        </w:rPr>
      </w:pPr>
      <w:r w:rsidRPr="001A60D6">
        <w:rPr>
          <w:rFonts w:ascii="Aptos" w:hAnsi="Aptos"/>
          <w:color w:val="000000" w:themeColor="text1"/>
          <w:sz w:val="22"/>
          <w:szCs w:val="22"/>
        </w:rPr>
        <w:t>Allow lifetime linkage (and beyond) to healthcare and other relevant data (including registries, healthcare records, research datasets, and lifestyle and other data</w:t>
      </w:r>
      <w:r w:rsidR="006E54FC" w:rsidRPr="001A60D6">
        <w:rPr>
          <w:rFonts w:ascii="Aptos" w:hAnsi="Aptos"/>
          <w:color w:val="000000" w:themeColor="text1"/>
          <w:sz w:val="22"/>
          <w:szCs w:val="22"/>
        </w:rPr>
        <w:t>.</w:t>
      </w:r>
      <w:r w:rsidRPr="001A60D6">
        <w:rPr>
          <w:rFonts w:ascii="Aptos" w:hAnsi="Aptos"/>
          <w:color w:val="000000" w:themeColor="text1"/>
          <w:sz w:val="22"/>
          <w:szCs w:val="22"/>
        </w:rPr>
        <w:t>)</w:t>
      </w:r>
    </w:p>
    <w:p w14:paraId="47C2EF64" w14:textId="147F5289" w:rsidR="00D44633" w:rsidRPr="001A60D6" w:rsidRDefault="00D44633" w:rsidP="00CA6DA3">
      <w:pPr>
        <w:pStyle w:val="BodyText"/>
        <w:numPr>
          <w:ilvl w:val="0"/>
          <w:numId w:val="32"/>
        </w:numPr>
        <w:jc w:val="both"/>
        <w:rPr>
          <w:rFonts w:ascii="Aptos" w:hAnsi="Aptos"/>
          <w:color w:val="000000" w:themeColor="text1"/>
          <w:sz w:val="22"/>
          <w:szCs w:val="22"/>
        </w:rPr>
      </w:pPr>
      <w:r w:rsidRPr="001A60D6">
        <w:rPr>
          <w:rFonts w:ascii="Aptos" w:hAnsi="Aptos"/>
          <w:color w:val="000000" w:themeColor="text1"/>
          <w:sz w:val="22"/>
          <w:szCs w:val="22"/>
        </w:rPr>
        <w:t>Support international collaborators, including the transfer of data and material into the UK from other countries where appropriate, subject to necessary agreements and regulatory approvals</w:t>
      </w:r>
      <w:r w:rsidR="008E0552">
        <w:rPr>
          <w:rFonts w:ascii="Aptos" w:hAnsi="Aptos"/>
          <w:color w:val="000000" w:themeColor="text1"/>
          <w:sz w:val="22"/>
          <w:szCs w:val="22"/>
        </w:rPr>
        <w:t>.</w:t>
      </w:r>
    </w:p>
    <w:p w14:paraId="6AFCE289" w14:textId="77777777" w:rsidR="004F7723" w:rsidRPr="001A60D6" w:rsidRDefault="004F7723" w:rsidP="00C040AD">
      <w:pPr>
        <w:pStyle w:val="BodyText"/>
        <w:rPr>
          <w:rFonts w:ascii="Aptos" w:hAnsi="Aptos"/>
          <w:color w:val="000000" w:themeColor="text1"/>
          <w:sz w:val="22"/>
          <w:szCs w:val="22"/>
        </w:rPr>
      </w:pPr>
    </w:p>
    <w:p w14:paraId="2C9681BD" w14:textId="77777777" w:rsidR="00FF2DC5" w:rsidRPr="001A60D6" w:rsidRDefault="00577725">
      <w:pPr>
        <w:pStyle w:val="Heading1"/>
        <w:rPr>
          <w:rFonts w:ascii="Aptos" w:hAnsi="Aptos"/>
          <w:color w:val="000000" w:themeColor="text1"/>
        </w:rPr>
      </w:pPr>
      <w:bookmarkStart w:id="8" w:name="background"/>
      <w:bookmarkStart w:id="9" w:name="_Toc188625284"/>
      <w:r w:rsidRPr="1B9F46DA">
        <w:rPr>
          <w:rFonts w:ascii="Aptos" w:hAnsi="Aptos"/>
          <w:color w:val="000000" w:themeColor="text1"/>
        </w:rPr>
        <w:t>Background</w:t>
      </w:r>
      <w:bookmarkEnd w:id="8"/>
      <w:bookmarkEnd w:id="9"/>
    </w:p>
    <w:p w14:paraId="24FBE8D5" w14:textId="41059DDD" w:rsidR="00FF2DC5" w:rsidRPr="001A60D6" w:rsidRDefault="00577725" w:rsidP="00D42B9C">
      <w:pPr>
        <w:pStyle w:val="FirstParagraph"/>
        <w:jc w:val="both"/>
        <w:rPr>
          <w:rFonts w:ascii="Aptos" w:hAnsi="Aptos"/>
          <w:color w:val="000000" w:themeColor="text1"/>
          <w:sz w:val="22"/>
          <w:szCs w:val="22"/>
        </w:rPr>
      </w:pPr>
      <w:r w:rsidRPr="001A60D6">
        <w:rPr>
          <w:rFonts w:ascii="Aptos" w:hAnsi="Aptos"/>
          <w:color w:val="000000" w:themeColor="text1"/>
          <w:sz w:val="22"/>
          <w:szCs w:val="22"/>
        </w:rPr>
        <w:t>Susceptibility to infection is profoundly heritable</w:t>
      </w:r>
      <w:r w:rsidR="00D42B9C" w:rsidRPr="001A60D6">
        <w:rPr>
          <w:rFonts w:ascii="Aptos" w:hAnsi="Aptos"/>
          <w:color w:val="000000" w:themeColor="text1"/>
          <w:sz w:val="22"/>
          <w:szCs w:val="22"/>
        </w:rPr>
        <w:t xml:space="preserve"> </w:t>
      </w:r>
      <w:r w:rsidRPr="001A60D6">
        <w:rPr>
          <w:rFonts w:ascii="Aptos" w:hAnsi="Aptos"/>
          <w:color w:val="000000" w:themeColor="text1"/>
          <w:sz w:val="22"/>
          <w:szCs w:val="22"/>
        </w:rPr>
        <w:t>(Sorensen et al. 1988). Patients who develop life-threatening illness following infection with usually innocuous pathogens, such as influenza</w:t>
      </w:r>
      <w:r w:rsidR="00D42B9C" w:rsidRPr="001A60D6">
        <w:rPr>
          <w:rFonts w:ascii="Aptos" w:hAnsi="Aptos"/>
          <w:color w:val="000000" w:themeColor="text1"/>
          <w:sz w:val="22"/>
          <w:szCs w:val="22"/>
        </w:rPr>
        <w:t xml:space="preserve"> </w:t>
      </w:r>
      <w:r w:rsidRPr="001A60D6">
        <w:rPr>
          <w:rFonts w:ascii="Aptos" w:hAnsi="Aptos"/>
          <w:color w:val="000000" w:themeColor="text1"/>
          <w:sz w:val="22"/>
          <w:szCs w:val="22"/>
        </w:rPr>
        <w:t>(Miller et al. 2010), are genetically different from the rest of the population</w:t>
      </w:r>
      <w:r w:rsidR="00D42B9C" w:rsidRPr="001A60D6">
        <w:rPr>
          <w:rFonts w:ascii="Aptos" w:hAnsi="Aptos"/>
          <w:color w:val="000000" w:themeColor="text1"/>
          <w:sz w:val="22"/>
          <w:szCs w:val="22"/>
        </w:rPr>
        <w:t xml:space="preserve"> </w:t>
      </w:r>
      <w:r w:rsidRPr="001A60D6">
        <w:rPr>
          <w:rFonts w:ascii="Aptos" w:hAnsi="Aptos"/>
          <w:color w:val="000000" w:themeColor="text1"/>
          <w:sz w:val="22"/>
          <w:szCs w:val="22"/>
        </w:rPr>
        <w:t>(Albright et al. 2008). Understanding the genetic mechanisms of susceptibility may yield new therapeutic targets</w:t>
      </w:r>
      <w:r w:rsidR="00D42B9C" w:rsidRPr="001A60D6">
        <w:rPr>
          <w:rFonts w:ascii="Aptos" w:hAnsi="Aptos"/>
          <w:color w:val="000000" w:themeColor="text1"/>
          <w:sz w:val="22"/>
          <w:szCs w:val="22"/>
        </w:rPr>
        <w:t xml:space="preserve"> </w:t>
      </w:r>
      <w:r w:rsidRPr="001A60D6">
        <w:rPr>
          <w:rFonts w:ascii="Aptos" w:hAnsi="Aptos"/>
          <w:color w:val="000000" w:themeColor="text1"/>
          <w:sz w:val="22"/>
          <w:szCs w:val="22"/>
        </w:rPr>
        <w:t xml:space="preserve">(Baillie 2014) that can be used to make susceptible patients more </w:t>
      </w:r>
      <w:r w:rsidR="00D42B9C" w:rsidRPr="001A60D6">
        <w:rPr>
          <w:rFonts w:ascii="Aptos" w:hAnsi="Aptos"/>
          <w:color w:val="000000" w:themeColor="text1"/>
          <w:sz w:val="22"/>
          <w:szCs w:val="22"/>
        </w:rPr>
        <w:t>like</w:t>
      </w:r>
      <w:r w:rsidRPr="001A60D6">
        <w:rPr>
          <w:rFonts w:ascii="Aptos" w:hAnsi="Aptos"/>
          <w:color w:val="000000" w:themeColor="text1"/>
          <w:sz w:val="22"/>
          <w:szCs w:val="22"/>
        </w:rPr>
        <w:t xml:space="preserve"> individuals who are resistant to, or tolerant of, specific pathogens.</w:t>
      </w:r>
    </w:p>
    <w:p w14:paraId="6F1FFD8E" w14:textId="168E66A8" w:rsidR="00FF2DC5" w:rsidRPr="001A60D6" w:rsidRDefault="00577725" w:rsidP="00D42B9C">
      <w:pPr>
        <w:pStyle w:val="BodyText"/>
        <w:jc w:val="both"/>
        <w:rPr>
          <w:rFonts w:ascii="Aptos" w:hAnsi="Aptos"/>
          <w:color w:val="000000" w:themeColor="text1"/>
          <w:sz w:val="22"/>
          <w:szCs w:val="22"/>
        </w:rPr>
      </w:pPr>
      <w:r w:rsidRPr="001A60D6">
        <w:rPr>
          <w:rFonts w:ascii="Aptos" w:hAnsi="Aptos"/>
          <w:color w:val="000000" w:themeColor="text1"/>
          <w:sz w:val="22"/>
          <w:szCs w:val="22"/>
        </w:rPr>
        <w:t>The genetic mechanisms of susceptibility to infection are likely to be highly pathogen-specific, and may even have opposing roles in different infections (as for CCR5 variants in HIV</w:t>
      </w:r>
      <w:r w:rsidR="00D42B9C" w:rsidRPr="001A60D6">
        <w:rPr>
          <w:rFonts w:ascii="Aptos" w:hAnsi="Aptos"/>
          <w:color w:val="000000" w:themeColor="text1"/>
          <w:sz w:val="22"/>
          <w:szCs w:val="22"/>
        </w:rPr>
        <w:t xml:space="preserve"> </w:t>
      </w:r>
      <w:r w:rsidRPr="001A60D6">
        <w:rPr>
          <w:rFonts w:ascii="Aptos" w:hAnsi="Aptos"/>
          <w:color w:val="000000" w:themeColor="text1"/>
          <w:sz w:val="22"/>
          <w:szCs w:val="22"/>
        </w:rPr>
        <w:t xml:space="preserve">(Huang et al. 1996) and </w:t>
      </w:r>
      <w:r w:rsidR="00D42B9C" w:rsidRPr="001A60D6">
        <w:rPr>
          <w:rFonts w:ascii="Aptos" w:hAnsi="Aptos"/>
          <w:color w:val="000000" w:themeColor="text1"/>
          <w:sz w:val="22"/>
          <w:szCs w:val="22"/>
        </w:rPr>
        <w:t>WNV (</w:t>
      </w:r>
      <w:r w:rsidRPr="001A60D6">
        <w:rPr>
          <w:rFonts w:ascii="Aptos" w:hAnsi="Aptos"/>
          <w:color w:val="000000" w:themeColor="text1"/>
          <w:sz w:val="22"/>
          <w:szCs w:val="22"/>
        </w:rPr>
        <w:t>Glass et al. 2006) infection). Pathogen-specific interventions (</w:t>
      </w:r>
      <w:r w:rsidR="00D42B9C" w:rsidRPr="001A60D6">
        <w:rPr>
          <w:rFonts w:ascii="Aptos" w:hAnsi="Aptos"/>
          <w:color w:val="000000" w:themeColor="text1"/>
          <w:sz w:val="22"/>
          <w:szCs w:val="22"/>
        </w:rPr>
        <w:t>e.g.</w:t>
      </w:r>
      <w:r w:rsidRPr="001A60D6">
        <w:rPr>
          <w:rFonts w:ascii="Aptos" w:hAnsi="Aptos"/>
          <w:color w:val="000000" w:themeColor="text1"/>
          <w:sz w:val="22"/>
          <w:szCs w:val="22"/>
        </w:rPr>
        <w:t xml:space="preserve"> small molecules to inhibit an enzyme or receptor that is dysfunctional in resistant individuals) would therefore be protective to the host in a similar way to antibiotics, with the advantage that it is conceptually more difficult for </w:t>
      </w:r>
      <w:r w:rsidR="00D42B9C" w:rsidRPr="001A60D6">
        <w:rPr>
          <w:rFonts w:ascii="Aptos" w:hAnsi="Aptos"/>
          <w:color w:val="000000" w:themeColor="text1"/>
          <w:sz w:val="22"/>
          <w:szCs w:val="22"/>
        </w:rPr>
        <w:t>any one</w:t>
      </w:r>
      <w:r w:rsidRPr="001A60D6">
        <w:rPr>
          <w:rFonts w:ascii="Aptos" w:hAnsi="Aptos"/>
          <w:color w:val="000000" w:themeColor="text1"/>
          <w:sz w:val="22"/>
          <w:szCs w:val="22"/>
        </w:rPr>
        <w:t xml:space="preserve"> pathogen to evolve resistance to such a therapy.</w:t>
      </w:r>
    </w:p>
    <w:p w14:paraId="394F2A0C" w14:textId="4CCB10DA" w:rsidR="00FF2DC5" w:rsidRPr="001A60D6" w:rsidRDefault="00577725" w:rsidP="00D42B9C">
      <w:pPr>
        <w:pStyle w:val="BodyText"/>
        <w:jc w:val="both"/>
        <w:rPr>
          <w:rFonts w:ascii="Aptos" w:hAnsi="Aptos"/>
          <w:color w:val="000000" w:themeColor="text1"/>
          <w:sz w:val="22"/>
          <w:szCs w:val="22"/>
        </w:rPr>
      </w:pPr>
      <w:r w:rsidRPr="001A60D6">
        <w:rPr>
          <w:rFonts w:ascii="Aptos" w:hAnsi="Aptos"/>
          <w:color w:val="000000" w:themeColor="text1"/>
          <w:sz w:val="22"/>
          <w:szCs w:val="22"/>
        </w:rPr>
        <w:t xml:space="preserve">A second, more challenging problem arises in patients who become critically ill following infection. The patterns of immune-mediated organ dysfunction, immunoparesis, and death are very similar in severe infections and sterile systemic injuries (such as burns, haemorrhage, pancreatitis and trauma). Ultimately, death is a consequence of the host response to </w:t>
      </w:r>
      <w:r w:rsidR="00D42B9C" w:rsidRPr="001A60D6">
        <w:rPr>
          <w:rFonts w:ascii="Aptos" w:hAnsi="Aptos"/>
          <w:color w:val="000000" w:themeColor="text1"/>
          <w:sz w:val="22"/>
          <w:szCs w:val="22"/>
        </w:rPr>
        <w:t>injury (</w:t>
      </w:r>
      <w:r w:rsidRPr="001A60D6">
        <w:rPr>
          <w:rFonts w:ascii="Aptos" w:hAnsi="Aptos"/>
          <w:color w:val="000000" w:themeColor="text1"/>
          <w:sz w:val="22"/>
          <w:szCs w:val="22"/>
        </w:rPr>
        <w:t>Angus and Poll 2013), through final common pathways of organ failure that are clinically and biochemically evident, and unrelated to the original precipitant.</w:t>
      </w:r>
    </w:p>
    <w:p w14:paraId="2D0CD2C5" w14:textId="77777777" w:rsidR="00FF2DC5" w:rsidRPr="001A60D6" w:rsidRDefault="00577725" w:rsidP="00D42B9C">
      <w:pPr>
        <w:pStyle w:val="BodyText"/>
        <w:jc w:val="both"/>
        <w:rPr>
          <w:rFonts w:ascii="Aptos" w:hAnsi="Aptos"/>
          <w:color w:val="000000" w:themeColor="text1"/>
          <w:sz w:val="22"/>
          <w:szCs w:val="22"/>
        </w:rPr>
      </w:pPr>
      <w:r w:rsidRPr="001A60D6">
        <w:rPr>
          <w:rFonts w:ascii="Aptos" w:hAnsi="Aptos"/>
          <w:color w:val="000000" w:themeColor="text1"/>
          <w:sz w:val="22"/>
          <w:szCs w:val="22"/>
        </w:rPr>
        <w:t>Broadly, the severity of critical illness follows directly from the severity and duration of the initial insult. In bacterial sepsis, early antibiotics are the mainstay of therapy; in influenza, early antivirals; in haemorrhage, early resuscitation; in trauma, urgent action to prevent secondary injury. We have no therapies with which to modulate the host response to systemic injury.</w:t>
      </w:r>
    </w:p>
    <w:p w14:paraId="5FFEA32F" w14:textId="290AB0F3" w:rsidR="00FF2DC5" w:rsidRPr="001A60D6" w:rsidRDefault="00577725" w:rsidP="00D42B9C">
      <w:pPr>
        <w:pStyle w:val="BodyText"/>
        <w:jc w:val="both"/>
        <w:rPr>
          <w:rFonts w:ascii="Aptos" w:hAnsi="Aptos"/>
          <w:color w:val="000000" w:themeColor="text1"/>
          <w:sz w:val="22"/>
          <w:szCs w:val="22"/>
        </w:rPr>
      </w:pPr>
      <w:r w:rsidRPr="001A60D6">
        <w:rPr>
          <w:rFonts w:ascii="Aptos" w:hAnsi="Aptos"/>
          <w:color w:val="000000" w:themeColor="text1"/>
          <w:sz w:val="22"/>
          <w:szCs w:val="22"/>
        </w:rPr>
        <w:t>There is a lack of direct evidence of heritability for outcomes of critical illness, due in part to difficulties in defining and quantifying the heterogeneous</w:t>
      </w:r>
      <w:r w:rsidR="007D0AB8" w:rsidRPr="001A60D6">
        <w:rPr>
          <w:rFonts w:ascii="Aptos" w:hAnsi="Aptos"/>
          <w:sz w:val="22"/>
          <w:szCs w:val="22"/>
        </w:rPr>
        <w:t xml:space="preserve"> </w:t>
      </w:r>
      <w:r w:rsidR="007D0AB8" w:rsidRPr="001A60D6">
        <w:rPr>
          <w:rFonts w:ascii="Aptos" w:hAnsi="Aptos"/>
          <w:color w:val="000000" w:themeColor="text1"/>
          <w:sz w:val="22"/>
          <w:szCs w:val="22"/>
        </w:rPr>
        <w:t>syndromes in critical illness such as sepsis, acute respiratory distress syndrome (ARDS)</w:t>
      </w:r>
      <w:r w:rsidRPr="001A60D6">
        <w:rPr>
          <w:rFonts w:ascii="Aptos" w:hAnsi="Aptos"/>
          <w:color w:val="000000" w:themeColor="text1"/>
          <w:sz w:val="22"/>
          <w:szCs w:val="22"/>
        </w:rPr>
        <w:t>, and</w:t>
      </w:r>
      <w:r w:rsidR="003E54E4" w:rsidRPr="001A60D6">
        <w:rPr>
          <w:rFonts w:ascii="Aptos" w:hAnsi="Aptos"/>
          <w:color w:val="000000" w:themeColor="text1"/>
          <w:sz w:val="22"/>
          <w:szCs w:val="22"/>
        </w:rPr>
        <w:t xml:space="preserve"> bronchopulmonary</w:t>
      </w:r>
      <w:r w:rsidR="00AC0FB1" w:rsidRPr="001A60D6">
        <w:rPr>
          <w:rFonts w:ascii="Aptos" w:hAnsi="Aptos"/>
          <w:color w:val="000000" w:themeColor="text1"/>
          <w:sz w:val="22"/>
          <w:szCs w:val="22"/>
        </w:rPr>
        <w:t xml:space="preserve"> dysplasia. This is also</w:t>
      </w:r>
      <w:r w:rsidRPr="001A60D6">
        <w:rPr>
          <w:rFonts w:ascii="Aptos" w:hAnsi="Aptos"/>
          <w:color w:val="000000" w:themeColor="text1"/>
          <w:sz w:val="22"/>
          <w:szCs w:val="22"/>
        </w:rPr>
        <w:t xml:space="preserve"> in part due to the rapid pace of change in critical care medicine, making it impossible to tackle this question in long</w:t>
      </w:r>
      <w:r w:rsidR="00762D58" w:rsidRPr="001A60D6">
        <w:rPr>
          <w:rFonts w:ascii="Aptos" w:hAnsi="Aptos"/>
          <w:color w:val="000000" w:themeColor="text1"/>
          <w:sz w:val="22"/>
          <w:szCs w:val="22"/>
        </w:rPr>
        <w:t>-</w:t>
      </w:r>
      <w:r w:rsidRPr="001A60D6">
        <w:rPr>
          <w:rFonts w:ascii="Aptos" w:hAnsi="Aptos"/>
          <w:color w:val="000000" w:themeColor="text1"/>
          <w:sz w:val="22"/>
          <w:szCs w:val="22"/>
        </w:rPr>
        <w:t xml:space="preserve">term outcome studies. However, clinical and biological evidence support the hypothesis that the pathogenesis </w:t>
      </w:r>
      <w:r w:rsidR="009020A6" w:rsidRPr="001A60D6">
        <w:rPr>
          <w:rFonts w:ascii="Aptos" w:hAnsi="Aptos"/>
          <w:color w:val="000000" w:themeColor="text1"/>
          <w:sz w:val="22"/>
          <w:szCs w:val="22"/>
        </w:rPr>
        <w:t>of organ</w:t>
      </w:r>
      <w:r w:rsidR="00337928" w:rsidRPr="001A60D6">
        <w:rPr>
          <w:rFonts w:ascii="Aptos" w:hAnsi="Aptos"/>
          <w:color w:val="000000" w:themeColor="text1"/>
          <w:sz w:val="22"/>
          <w:szCs w:val="22"/>
        </w:rPr>
        <w:t xml:space="preserve"> failure </w:t>
      </w:r>
      <w:r w:rsidRPr="001A60D6">
        <w:rPr>
          <w:rFonts w:ascii="Aptos" w:hAnsi="Aptos"/>
          <w:color w:val="000000" w:themeColor="text1"/>
          <w:sz w:val="22"/>
          <w:szCs w:val="22"/>
        </w:rPr>
        <w:t>is</w:t>
      </w:r>
      <w:r w:rsidR="00762D58" w:rsidRPr="001A60D6">
        <w:rPr>
          <w:rFonts w:ascii="Aptos" w:hAnsi="Aptos"/>
          <w:color w:val="000000" w:themeColor="text1"/>
          <w:sz w:val="22"/>
          <w:szCs w:val="22"/>
        </w:rPr>
        <w:t xml:space="preserve"> of</w:t>
      </w:r>
      <w:r w:rsidR="00C57D6F" w:rsidRPr="001A60D6">
        <w:rPr>
          <w:rFonts w:ascii="Aptos" w:hAnsi="Aptos"/>
          <w:color w:val="000000" w:themeColor="text1"/>
          <w:sz w:val="22"/>
          <w:szCs w:val="22"/>
        </w:rPr>
        <w:t>ten</w:t>
      </w:r>
      <w:r w:rsidRPr="001A60D6">
        <w:rPr>
          <w:rFonts w:ascii="Aptos" w:hAnsi="Aptos"/>
          <w:color w:val="000000" w:themeColor="text1"/>
          <w:sz w:val="22"/>
          <w:szCs w:val="22"/>
        </w:rPr>
        <w:t xml:space="preserve"> immune in </w:t>
      </w:r>
      <w:r w:rsidR="00D42B9C" w:rsidRPr="001A60D6">
        <w:rPr>
          <w:rFonts w:ascii="Aptos" w:hAnsi="Aptos"/>
          <w:color w:val="000000" w:themeColor="text1"/>
          <w:sz w:val="22"/>
          <w:szCs w:val="22"/>
        </w:rPr>
        <w:t>origin (</w:t>
      </w:r>
      <w:r w:rsidRPr="001A60D6">
        <w:rPr>
          <w:rFonts w:ascii="Aptos" w:hAnsi="Aptos"/>
          <w:color w:val="000000" w:themeColor="text1"/>
          <w:sz w:val="22"/>
          <w:szCs w:val="22"/>
        </w:rPr>
        <w:t>Angus and Poll 2013)</w:t>
      </w:r>
      <w:r w:rsidR="00C57D6F" w:rsidRPr="001A60D6">
        <w:rPr>
          <w:rFonts w:ascii="Aptos" w:hAnsi="Aptos"/>
          <w:color w:val="000000" w:themeColor="text1"/>
          <w:sz w:val="22"/>
          <w:szCs w:val="22"/>
        </w:rPr>
        <w:t>,</w:t>
      </w:r>
      <w:r w:rsidRPr="001A60D6">
        <w:rPr>
          <w:rFonts w:ascii="Aptos" w:hAnsi="Aptos"/>
          <w:color w:val="000000" w:themeColor="text1"/>
          <w:sz w:val="22"/>
          <w:szCs w:val="22"/>
        </w:rPr>
        <w:t xml:space="preserve"> </w:t>
      </w:r>
      <w:r w:rsidR="005C7D07" w:rsidRPr="001A60D6">
        <w:rPr>
          <w:rFonts w:ascii="Aptos" w:hAnsi="Aptos"/>
          <w:color w:val="000000" w:themeColor="text1"/>
          <w:sz w:val="22"/>
          <w:szCs w:val="22"/>
        </w:rPr>
        <w:t xml:space="preserve">and earlier results from this study provide clear evidence that immune dysfunction is a key driver of organ damage in Covid-19 (Pairo-Castineira et al, 2020; Kousathanas et al, 2022; Pairo-Castineira et al, 2023). </w:t>
      </w:r>
      <w:r w:rsidR="00D42B9C" w:rsidRPr="001A60D6">
        <w:rPr>
          <w:rFonts w:ascii="Aptos" w:hAnsi="Aptos"/>
          <w:color w:val="000000" w:themeColor="text1"/>
          <w:sz w:val="22"/>
          <w:szCs w:val="22"/>
        </w:rPr>
        <w:t>Hence,</w:t>
      </w:r>
      <w:r w:rsidRPr="001A60D6">
        <w:rPr>
          <w:rFonts w:ascii="Aptos" w:hAnsi="Aptos"/>
          <w:color w:val="000000" w:themeColor="text1"/>
          <w:sz w:val="22"/>
          <w:szCs w:val="22"/>
        </w:rPr>
        <w:t xml:space="preserve"> we can make predictions from the extensive knowledge of other immune conditions. </w:t>
      </w:r>
      <w:r w:rsidR="00C70211" w:rsidRPr="001A60D6">
        <w:rPr>
          <w:rFonts w:ascii="Aptos" w:hAnsi="Aptos"/>
          <w:color w:val="000000" w:themeColor="text1"/>
          <w:sz w:val="22"/>
          <w:szCs w:val="22"/>
        </w:rPr>
        <w:t xml:space="preserve">Furthermore, </w:t>
      </w:r>
      <w:r w:rsidRPr="001A60D6">
        <w:rPr>
          <w:rFonts w:ascii="Aptos" w:hAnsi="Aptos"/>
          <w:color w:val="000000" w:themeColor="text1"/>
          <w:sz w:val="22"/>
          <w:szCs w:val="22"/>
        </w:rPr>
        <w:t xml:space="preserve">autoimmune </w:t>
      </w:r>
      <w:r w:rsidR="00ED1479" w:rsidRPr="001A60D6">
        <w:rPr>
          <w:rFonts w:ascii="Aptos" w:hAnsi="Aptos"/>
          <w:color w:val="000000" w:themeColor="text1"/>
          <w:sz w:val="22"/>
          <w:szCs w:val="22"/>
        </w:rPr>
        <w:t>and</w:t>
      </w:r>
      <w:r w:rsidRPr="001A60D6">
        <w:rPr>
          <w:rFonts w:ascii="Aptos" w:hAnsi="Aptos"/>
          <w:color w:val="000000" w:themeColor="text1"/>
          <w:sz w:val="22"/>
          <w:szCs w:val="22"/>
        </w:rPr>
        <w:t xml:space="preserve"> infectious </w:t>
      </w:r>
      <w:r w:rsidR="000670F5" w:rsidRPr="001A60D6">
        <w:rPr>
          <w:rFonts w:ascii="Aptos" w:hAnsi="Aptos"/>
          <w:color w:val="000000" w:themeColor="text1"/>
          <w:sz w:val="22"/>
          <w:szCs w:val="22"/>
        </w:rPr>
        <w:t>-diseases</w:t>
      </w:r>
      <w:r w:rsidRPr="001A60D6">
        <w:rPr>
          <w:rFonts w:ascii="Aptos" w:hAnsi="Aptos"/>
          <w:color w:val="000000" w:themeColor="text1"/>
          <w:sz w:val="22"/>
          <w:szCs w:val="22"/>
        </w:rPr>
        <w:t xml:space="preserve"> share a great deal of similarity in genetic predispositions, cell types and mechanisms of pathogenesis. It is therefore very likely that propensity to survive </w:t>
      </w:r>
      <w:r w:rsidR="0021443D" w:rsidRPr="001A60D6">
        <w:rPr>
          <w:rFonts w:ascii="Aptos" w:hAnsi="Aptos"/>
          <w:color w:val="000000" w:themeColor="text1"/>
          <w:sz w:val="22"/>
          <w:szCs w:val="22"/>
        </w:rPr>
        <w:t>critical illness</w:t>
      </w:r>
      <w:r w:rsidRPr="001A60D6">
        <w:rPr>
          <w:rFonts w:ascii="Aptos" w:hAnsi="Aptos"/>
          <w:color w:val="000000" w:themeColor="text1"/>
          <w:sz w:val="22"/>
          <w:szCs w:val="22"/>
        </w:rPr>
        <w:t xml:space="preserve"> has a heritable component, and there is some direct evidence in support of this </w:t>
      </w:r>
      <w:r w:rsidR="00D42B9C" w:rsidRPr="001A60D6">
        <w:rPr>
          <w:rFonts w:ascii="Aptos" w:hAnsi="Aptos"/>
          <w:color w:val="000000" w:themeColor="text1"/>
          <w:sz w:val="22"/>
          <w:szCs w:val="22"/>
        </w:rPr>
        <w:t>hypothesis (</w:t>
      </w:r>
      <w:r w:rsidRPr="001A60D6">
        <w:rPr>
          <w:rFonts w:ascii="Aptos" w:hAnsi="Aptos"/>
          <w:color w:val="000000" w:themeColor="text1"/>
          <w:sz w:val="22"/>
          <w:szCs w:val="22"/>
        </w:rPr>
        <w:t xml:space="preserve">Rautanen et al. 2015). If this is the case, then the identity of the specific variants that contribute to outcome could potentially be utilised to design therapies to promote survival after the onset </w:t>
      </w:r>
      <w:r w:rsidR="005E33D5" w:rsidRPr="001A60D6">
        <w:rPr>
          <w:rFonts w:ascii="Aptos" w:hAnsi="Aptos"/>
          <w:color w:val="000000" w:themeColor="text1"/>
          <w:sz w:val="22"/>
          <w:szCs w:val="22"/>
        </w:rPr>
        <w:t>of critical</w:t>
      </w:r>
      <w:r w:rsidR="009F1847" w:rsidRPr="001A60D6">
        <w:rPr>
          <w:rFonts w:ascii="Aptos" w:hAnsi="Aptos"/>
          <w:color w:val="000000" w:themeColor="text1"/>
          <w:sz w:val="22"/>
          <w:szCs w:val="22"/>
        </w:rPr>
        <w:t xml:space="preserve"> illness</w:t>
      </w:r>
      <w:r w:rsidRPr="001A60D6">
        <w:rPr>
          <w:rFonts w:ascii="Aptos" w:hAnsi="Aptos"/>
          <w:color w:val="000000" w:themeColor="text1"/>
          <w:sz w:val="22"/>
          <w:szCs w:val="22"/>
        </w:rPr>
        <w:t>.</w:t>
      </w:r>
    </w:p>
    <w:p w14:paraId="46C73730" w14:textId="77777777" w:rsidR="00FF2DC5" w:rsidRPr="001A60D6" w:rsidRDefault="00577725">
      <w:pPr>
        <w:pStyle w:val="Heading1"/>
        <w:rPr>
          <w:rFonts w:ascii="Aptos" w:hAnsi="Aptos"/>
          <w:color w:val="000000" w:themeColor="text1"/>
        </w:rPr>
      </w:pPr>
      <w:bookmarkStart w:id="10" w:name="study-design-and-implementation"/>
      <w:bookmarkStart w:id="11" w:name="_Toc188625285"/>
      <w:r w:rsidRPr="1B9F46DA">
        <w:rPr>
          <w:rFonts w:ascii="Aptos" w:hAnsi="Aptos"/>
          <w:color w:val="000000" w:themeColor="text1"/>
        </w:rPr>
        <w:t>Study design and implementation</w:t>
      </w:r>
      <w:bookmarkEnd w:id="10"/>
      <w:bookmarkEnd w:id="11"/>
    </w:p>
    <w:p w14:paraId="639D029A" w14:textId="3567D622" w:rsidR="00A75D8C" w:rsidRPr="001A60D6" w:rsidRDefault="00963533" w:rsidP="00A75D8C">
      <w:pPr>
        <w:pStyle w:val="Heading2"/>
        <w:rPr>
          <w:rFonts w:ascii="Aptos" w:hAnsi="Aptos"/>
          <w:color w:val="000000" w:themeColor="text1"/>
        </w:rPr>
      </w:pPr>
      <w:bookmarkStart w:id="12" w:name="phenotypes-of-interest"/>
      <w:bookmarkStart w:id="13" w:name="_Toc188625286"/>
      <w:r w:rsidRPr="1B9F46DA">
        <w:rPr>
          <w:rFonts w:ascii="Aptos" w:hAnsi="Aptos"/>
          <w:color w:val="000000" w:themeColor="text1"/>
        </w:rPr>
        <w:t>CLINICAL CONDITIONS (</w:t>
      </w:r>
      <w:r w:rsidR="00577725" w:rsidRPr="1B9F46DA">
        <w:rPr>
          <w:rFonts w:ascii="Aptos" w:hAnsi="Aptos"/>
          <w:color w:val="000000" w:themeColor="text1"/>
        </w:rPr>
        <w:t>Phenotypes</w:t>
      </w:r>
      <w:r w:rsidRPr="1B9F46DA">
        <w:rPr>
          <w:rFonts w:ascii="Aptos" w:hAnsi="Aptos"/>
          <w:color w:val="000000" w:themeColor="text1"/>
        </w:rPr>
        <w:t>)</w:t>
      </w:r>
      <w:r w:rsidR="00577725" w:rsidRPr="1B9F46DA">
        <w:rPr>
          <w:rFonts w:ascii="Aptos" w:hAnsi="Aptos"/>
          <w:color w:val="000000" w:themeColor="text1"/>
        </w:rPr>
        <w:t xml:space="preserve"> of interest</w:t>
      </w:r>
      <w:bookmarkEnd w:id="12"/>
      <w:bookmarkEnd w:id="13"/>
    </w:p>
    <w:p w14:paraId="1979C9CE" w14:textId="58D018F9" w:rsidR="00FF2DC5" w:rsidRPr="001A60D6" w:rsidRDefault="00577725" w:rsidP="00D42B9C">
      <w:pPr>
        <w:pStyle w:val="FirstParagraph"/>
        <w:jc w:val="both"/>
        <w:rPr>
          <w:rFonts w:ascii="Aptos" w:hAnsi="Aptos"/>
          <w:color w:val="000000" w:themeColor="text1"/>
          <w:sz w:val="22"/>
          <w:szCs w:val="22"/>
        </w:rPr>
      </w:pPr>
      <w:r w:rsidRPr="001A60D6">
        <w:rPr>
          <w:rFonts w:ascii="Aptos" w:hAnsi="Aptos"/>
          <w:color w:val="000000" w:themeColor="text1"/>
          <w:sz w:val="22"/>
          <w:szCs w:val="22"/>
        </w:rPr>
        <w:t>This study aims to identify genetic predisposition to specific syndromes of critical illness</w:t>
      </w:r>
      <w:r w:rsidR="00C10C9B" w:rsidRPr="001A60D6">
        <w:rPr>
          <w:rFonts w:ascii="Aptos" w:hAnsi="Aptos"/>
          <w:color w:val="000000" w:themeColor="text1"/>
          <w:sz w:val="22"/>
          <w:szCs w:val="22"/>
        </w:rPr>
        <w:t xml:space="preserve"> and outbreaks or exposures of public health interest</w:t>
      </w:r>
      <w:r w:rsidRPr="001A60D6">
        <w:rPr>
          <w:rFonts w:ascii="Aptos" w:hAnsi="Aptos"/>
          <w:color w:val="000000" w:themeColor="text1"/>
          <w:sz w:val="22"/>
          <w:szCs w:val="22"/>
        </w:rPr>
        <w:t xml:space="preserve">. </w:t>
      </w:r>
      <w:r w:rsidR="00632782" w:rsidRPr="001A60D6">
        <w:rPr>
          <w:rFonts w:ascii="Aptos" w:hAnsi="Aptos"/>
          <w:color w:val="000000" w:themeColor="text1"/>
          <w:sz w:val="22"/>
          <w:szCs w:val="22"/>
        </w:rPr>
        <w:t>This includes</w:t>
      </w:r>
      <w:r w:rsidRPr="001A60D6">
        <w:rPr>
          <w:rFonts w:ascii="Aptos" w:hAnsi="Aptos"/>
          <w:color w:val="000000" w:themeColor="text1"/>
          <w:sz w:val="22"/>
          <w:szCs w:val="22"/>
        </w:rPr>
        <w:t xml:space="preserve"> susceptibility to life-threatening </w:t>
      </w:r>
      <w:r w:rsidR="00F030EA" w:rsidRPr="001A60D6">
        <w:rPr>
          <w:rFonts w:ascii="Aptos" w:hAnsi="Aptos"/>
          <w:color w:val="000000" w:themeColor="text1"/>
          <w:sz w:val="22"/>
          <w:szCs w:val="22"/>
        </w:rPr>
        <w:t>infections,</w:t>
      </w:r>
      <w:r w:rsidRPr="001A60D6">
        <w:rPr>
          <w:rFonts w:ascii="Aptos" w:hAnsi="Aptos"/>
          <w:color w:val="000000" w:themeColor="text1"/>
          <w:sz w:val="22"/>
          <w:szCs w:val="22"/>
        </w:rPr>
        <w:t xml:space="preserve"> and susceptibility to </w:t>
      </w:r>
      <w:r w:rsidR="0050647C" w:rsidRPr="001A60D6">
        <w:rPr>
          <w:rFonts w:ascii="Aptos" w:hAnsi="Aptos"/>
          <w:color w:val="000000" w:themeColor="text1"/>
          <w:sz w:val="22"/>
          <w:szCs w:val="22"/>
        </w:rPr>
        <w:t xml:space="preserve">adverse </w:t>
      </w:r>
      <w:r w:rsidR="00C13A08" w:rsidRPr="001A60D6">
        <w:rPr>
          <w:rFonts w:ascii="Aptos" w:hAnsi="Aptos"/>
          <w:color w:val="000000" w:themeColor="text1"/>
          <w:sz w:val="22"/>
          <w:szCs w:val="22"/>
        </w:rPr>
        <w:t>outcomes, including mortality,</w:t>
      </w:r>
      <w:r w:rsidRPr="001A60D6">
        <w:rPr>
          <w:rFonts w:ascii="Aptos" w:hAnsi="Aptos"/>
          <w:color w:val="000000" w:themeColor="text1"/>
          <w:sz w:val="22"/>
          <w:szCs w:val="22"/>
        </w:rPr>
        <w:t xml:space="preserve"> following the onset of organ failure due to sepsis or sterile injury. </w:t>
      </w:r>
    </w:p>
    <w:p w14:paraId="540F790D" w14:textId="77777777" w:rsidR="00FF2DC5" w:rsidRPr="001A60D6" w:rsidRDefault="00577725">
      <w:pPr>
        <w:pStyle w:val="Heading2"/>
        <w:rPr>
          <w:rFonts w:ascii="Aptos" w:hAnsi="Aptos"/>
          <w:color w:val="000000" w:themeColor="text1"/>
        </w:rPr>
      </w:pPr>
      <w:bookmarkStart w:id="14" w:name="prospective-recruitment"/>
      <w:bookmarkStart w:id="15" w:name="_Toc188625287"/>
      <w:r w:rsidRPr="1B9F46DA">
        <w:rPr>
          <w:rFonts w:ascii="Aptos" w:hAnsi="Aptos"/>
          <w:color w:val="000000" w:themeColor="text1"/>
        </w:rPr>
        <w:t>Prospective recruitment</w:t>
      </w:r>
      <w:bookmarkEnd w:id="14"/>
      <w:bookmarkEnd w:id="15"/>
    </w:p>
    <w:p w14:paraId="70A3C6A7" w14:textId="68EA6855" w:rsidR="00FF2DC5" w:rsidRPr="001A60D6" w:rsidRDefault="006F0039" w:rsidP="00D42B9C">
      <w:pPr>
        <w:pStyle w:val="FirstParagraph"/>
        <w:jc w:val="both"/>
        <w:rPr>
          <w:rFonts w:ascii="Aptos" w:hAnsi="Aptos"/>
          <w:color w:val="000000" w:themeColor="text1"/>
          <w:sz w:val="22"/>
          <w:szCs w:val="22"/>
        </w:rPr>
      </w:pPr>
      <w:r w:rsidRPr="001A60D6">
        <w:rPr>
          <w:rFonts w:ascii="Aptos" w:hAnsi="Aptos"/>
          <w:color w:val="000000" w:themeColor="text1"/>
          <w:sz w:val="22"/>
          <w:szCs w:val="22"/>
        </w:rPr>
        <w:t xml:space="preserve">Consenting </w:t>
      </w:r>
      <w:r w:rsidR="009D40AC" w:rsidRPr="001A60D6">
        <w:rPr>
          <w:rFonts w:ascii="Aptos" w:hAnsi="Aptos"/>
          <w:color w:val="000000" w:themeColor="text1"/>
          <w:sz w:val="22"/>
          <w:szCs w:val="22"/>
        </w:rPr>
        <w:t>p</w:t>
      </w:r>
      <w:r w:rsidR="00577725" w:rsidRPr="001A60D6">
        <w:rPr>
          <w:rFonts w:ascii="Aptos" w:hAnsi="Aptos"/>
          <w:color w:val="000000" w:themeColor="text1"/>
          <w:sz w:val="22"/>
          <w:szCs w:val="22"/>
        </w:rPr>
        <w:t xml:space="preserve">atients meeting the entry criteria will be asked to </w:t>
      </w:r>
      <w:r w:rsidR="00613504" w:rsidRPr="001A60D6">
        <w:rPr>
          <w:rFonts w:ascii="Aptos" w:hAnsi="Aptos"/>
          <w:color w:val="000000" w:themeColor="text1"/>
          <w:sz w:val="22"/>
          <w:szCs w:val="22"/>
        </w:rPr>
        <w:t>provide a</w:t>
      </w:r>
      <w:r w:rsidR="00577725" w:rsidRPr="001A60D6">
        <w:rPr>
          <w:rFonts w:ascii="Aptos" w:hAnsi="Aptos"/>
          <w:color w:val="000000" w:themeColor="text1"/>
          <w:sz w:val="22"/>
          <w:szCs w:val="22"/>
        </w:rPr>
        <w:t xml:space="preserve"> single DNA sample.</w:t>
      </w:r>
    </w:p>
    <w:p w14:paraId="27A102AA" w14:textId="5BD7CE67" w:rsidR="00CC6E7F" w:rsidRPr="001A60D6" w:rsidRDefault="00CC6E7F" w:rsidP="00CA6DA3">
      <w:pPr>
        <w:pStyle w:val="Heading2"/>
        <w:rPr>
          <w:rFonts w:ascii="Aptos" w:hAnsi="Aptos"/>
        </w:rPr>
      </w:pPr>
      <w:bookmarkStart w:id="16" w:name="_Toc188625288"/>
      <w:r w:rsidRPr="1B9F46DA">
        <w:rPr>
          <w:rFonts w:ascii="Aptos" w:hAnsi="Aptos"/>
        </w:rPr>
        <w:t>LABORATORY</w:t>
      </w:r>
      <w:r w:rsidR="00E16328" w:rsidRPr="1B9F46DA">
        <w:rPr>
          <w:rFonts w:ascii="Aptos" w:hAnsi="Aptos"/>
        </w:rPr>
        <w:t xml:space="preserve"> SAMPLING</w:t>
      </w:r>
      <w:bookmarkEnd w:id="16"/>
    </w:p>
    <w:p w14:paraId="5D38A329" w14:textId="77777777" w:rsidR="00731806" w:rsidRPr="001A60D6" w:rsidRDefault="00731806" w:rsidP="00CA6DA3">
      <w:pPr>
        <w:pStyle w:val="BodyText"/>
        <w:jc w:val="both"/>
        <w:rPr>
          <w:rFonts w:ascii="Aptos" w:hAnsi="Aptos"/>
          <w:sz w:val="22"/>
          <w:szCs w:val="22"/>
        </w:rPr>
      </w:pPr>
      <w:r w:rsidRPr="001A60D6">
        <w:rPr>
          <w:rFonts w:ascii="Aptos" w:hAnsi="Aptos"/>
          <w:sz w:val="22"/>
          <w:szCs w:val="22"/>
        </w:rPr>
        <w:t>In some cases, with consent, samples from residual material will be obtained from clinical samples. This will be done on a case-by-case basis by direct negotiation with hospital laboratory teams in participating sites, for example to investigate outbreaks or other public health threats.</w:t>
      </w:r>
    </w:p>
    <w:p w14:paraId="5608FA30" w14:textId="3FD95778" w:rsidR="00FF2DC5" w:rsidRPr="001A60D6" w:rsidRDefault="00577725">
      <w:pPr>
        <w:pStyle w:val="Heading2"/>
        <w:rPr>
          <w:rFonts w:ascii="Aptos" w:hAnsi="Aptos"/>
          <w:color w:val="000000" w:themeColor="text1"/>
        </w:rPr>
      </w:pPr>
      <w:bookmarkStart w:id="17" w:name="recruitment-of-survivors"/>
      <w:bookmarkStart w:id="18" w:name="_Toc188625289"/>
      <w:r w:rsidRPr="1B9F46DA">
        <w:rPr>
          <w:rFonts w:ascii="Aptos" w:hAnsi="Aptos"/>
          <w:color w:val="000000" w:themeColor="text1"/>
        </w:rPr>
        <w:t>Recruitment of survivors</w:t>
      </w:r>
      <w:bookmarkEnd w:id="17"/>
      <w:bookmarkEnd w:id="18"/>
      <w:r w:rsidR="00DB4470" w:rsidRPr="1B9F46DA">
        <w:rPr>
          <w:rFonts w:ascii="Aptos" w:hAnsi="Aptos"/>
          <w:color w:val="000000" w:themeColor="text1"/>
        </w:rPr>
        <w:t xml:space="preserve"> </w:t>
      </w:r>
    </w:p>
    <w:p w14:paraId="3172F7A7" w14:textId="3FC18D39" w:rsidR="00FF2DC5" w:rsidRPr="001A60D6" w:rsidRDefault="00577725" w:rsidP="00D42B9C">
      <w:pPr>
        <w:pStyle w:val="FirstParagraph"/>
        <w:jc w:val="both"/>
        <w:rPr>
          <w:rFonts w:ascii="Aptos" w:hAnsi="Aptos"/>
          <w:color w:val="000000" w:themeColor="text1"/>
          <w:sz w:val="22"/>
          <w:szCs w:val="22"/>
        </w:rPr>
      </w:pPr>
      <w:r w:rsidRPr="001A60D6">
        <w:rPr>
          <w:rFonts w:ascii="Aptos" w:hAnsi="Aptos"/>
          <w:color w:val="000000" w:themeColor="text1"/>
          <w:sz w:val="22"/>
          <w:szCs w:val="22"/>
        </w:rPr>
        <w:t xml:space="preserve">The group of </w:t>
      </w:r>
      <w:r w:rsidR="001C0178" w:rsidRPr="001A60D6">
        <w:rPr>
          <w:rFonts w:ascii="Aptos" w:hAnsi="Aptos"/>
          <w:color w:val="000000" w:themeColor="text1"/>
          <w:sz w:val="22"/>
          <w:szCs w:val="22"/>
        </w:rPr>
        <w:t xml:space="preserve">critical illness </w:t>
      </w:r>
      <w:r w:rsidRPr="001A60D6">
        <w:rPr>
          <w:rFonts w:ascii="Aptos" w:hAnsi="Aptos"/>
          <w:color w:val="000000" w:themeColor="text1"/>
          <w:sz w:val="22"/>
          <w:szCs w:val="22"/>
        </w:rPr>
        <w:t xml:space="preserve">survivors eligible for recruitment for this study are generally healthy individuals who have suffered critical illness. We know from extensive epidemiological research that, after recovery from critical illness, mortality returns to close to the baseline for the </w:t>
      </w:r>
      <w:r w:rsidR="00D42B9C" w:rsidRPr="001A60D6">
        <w:rPr>
          <w:rFonts w:ascii="Aptos" w:hAnsi="Aptos"/>
          <w:color w:val="000000" w:themeColor="text1"/>
          <w:sz w:val="22"/>
          <w:szCs w:val="22"/>
        </w:rPr>
        <w:t>population (</w:t>
      </w:r>
      <w:r w:rsidRPr="001A60D6">
        <w:rPr>
          <w:rFonts w:ascii="Aptos" w:hAnsi="Aptos"/>
          <w:color w:val="000000" w:themeColor="text1"/>
          <w:sz w:val="22"/>
          <w:szCs w:val="22"/>
        </w:rPr>
        <w:t xml:space="preserve">Lone et al. 2016). We have therefore assessed that there is a very low </w:t>
      </w:r>
      <w:r w:rsidR="00C35C77" w:rsidRPr="001A60D6">
        <w:rPr>
          <w:rFonts w:ascii="Aptos" w:hAnsi="Aptos"/>
          <w:color w:val="000000" w:themeColor="text1"/>
          <w:sz w:val="22"/>
          <w:szCs w:val="22"/>
        </w:rPr>
        <w:t>risk that</w:t>
      </w:r>
      <w:r w:rsidR="00D64627" w:rsidRPr="001A60D6">
        <w:rPr>
          <w:rFonts w:ascii="Aptos" w:hAnsi="Aptos"/>
          <w:color w:val="000000" w:themeColor="text1"/>
          <w:sz w:val="22"/>
          <w:szCs w:val="22"/>
        </w:rPr>
        <w:t xml:space="preserve"> </w:t>
      </w:r>
      <w:r w:rsidRPr="001A60D6">
        <w:rPr>
          <w:rFonts w:ascii="Aptos" w:hAnsi="Aptos"/>
          <w:color w:val="000000" w:themeColor="text1"/>
          <w:sz w:val="22"/>
          <w:szCs w:val="22"/>
        </w:rPr>
        <w:t xml:space="preserve">patients </w:t>
      </w:r>
      <w:r w:rsidR="00B05AF7" w:rsidRPr="001A60D6">
        <w:rPr>
          <w:rFonts w:ascii="Aptos" w:hAnsi="Aptos"/>
          <w:color w:val="000000" w:themeColor="text1"/>
          <w:sz w:val="22"/>
          <w:szCs w:val="22"/>
        </w:rPr>
        <w:t>we attempt to contact will have</w:t>
      </w:r>
      <w:r w:rsidRPr="001A60D6">
        <w:rPr>
          <w:rFonts w:ascii="Aptos" w:hAnsi="Aptos"/>
          <w:color w:val="000000" w:themeColor="text1"/>
          <w:sz w:val="22"/>
          <w:szCs w:val="22"/>
        </w:rPr>
        <w:t xml:space="preserve"> died</w:t>
      </w:r>
      <w:r w:rsidR="007E7021" w:rsidRPr="001A60D6">
        <w:rPr>
          <w:rFonts w:ascii="Aptos" w:hAnsi="Aptos"/>
          <w:color w:val="000000" w:themeColor="text1"/>
          <w:sz w:val="22"/>
          <w:szCs w:val="22"/>
        </w:rPr>
        <w:t xml:space="preserve"> since discharge from hospital</w:t>
      </w:r>
      <w:r w:rsidRPr="001A60D6">
        <w:rPr>
          <w:rFonts w:ascii="Aptos" w:hAnsi="Aptos"/>
          <w:color w:val="000000" w:themeColor="text1"/>
          <w:sz w:val="22"/>
          <w:szCs w:val="22"/>
        </w:rPr>
        <w:t xml:space="preserve">; hence the recruitment strategy we will use will be comparable to primary care studies in the general population, rather than the more burdensome approaches that are used in studies of patients at a high risk of death. Specifically, we will not contact family doctors to confirm that a patient is still alive before </w:t>
      </w:r>
      <w:r w:rsidR="006512D6" w:rsidRPr="001A60D6">
        <w:rPr>
          <w:rFonts w:ascii="Aptos" w:hAnsi="Aptos"/>
          <w:color w:val="000000" w:themeColor="text1"/>
          <w:sz w:val="22"/>
          <w:szCs w:val="22"/>
        </w:rPr>
        <w:t xml:space="preserve">approaching </w:t>
      </w:r>
      <w:r w:rsidRPr="001A60D6">
        <w:rPr>
          <w:rFonts w:ascii="Aptos" w:hAnsi="Aptos"/>
          <w:color w:val="000000" w:themeColor="text1"/>
          <w:sz w:val="22"/>
          <w:szCs w:val="22"/>
        </w:rPr>
        <w:t>the patient.</w:t>
      </w:r>
    </w:p>
    <w:p w14:paraId="229390F2" w14:textId="77777777" w:rsidR="00FF2DC5" w:rsidRPr="001A60D6" w:rsidRDefault="00577725" w:rsidP="00D42B9C">
      <w:pPr>
        <w:pStyle w:val="BodyText"/>
        <w:jc w:val="both"/>
        <w:rPr>
          <w:rFonts w:ascii="Aptos" w:hAnsi="Aptos"/>
          <w:color w:val="000000" w:themeColor="text1"/>
          <w:sz w:val="22"/>
          <w:szCs w:val="22"/>
        </w:rPr>
      </w:pPr>
      <w:r w:rsidRPr="001A60D6">
        <w:rPr>
          <w:rFonts w:ascii="Aptos" w:hAnsi="Aptos"/>
          <w:color w:val="000000" w:themeColor="text1"/>
          <w:sz w:val="22"/>
          <w:szCs w:val="22"/>
        </w:rPr>
        <w:t xml:space="preserve">Patients will be identified from hospital records by </w:t>
      </w:r>
      <w:r w:rsidR="002D5D22" w:rsidRPr="001A60D6">
        <w:rPr>
          <w:rFonts w:ascii="Aptos" w:hAnsi="Aptos"/>
          <w:color w:val="000000" w:themeColor="text1"/>
          <w:sz w:val="22"/>
          <w:szCs w:val="22"/>
        </w:rPr>
        <w:t xml:space="preserve">clinical or </w:t>
      </w:r>
      <w:r w:rsidRPr="001A60D6">
        <w:rPr>
          <w:rFonts w:ascii="Aptos" w:hAnsi="Aptos"/>
          <w:color w:val="000000" w:themeColor="text1"/>
          <w:sz w:val="22"/>
          <w:szCs w:val="22"/>
        </w:rPr>
        <w:t xml:space="preserve">research staff in the critical care unit that provided treatment to each patient. </w:t>
      </w:r>
      <w:r w:rsidR="006717D7" w:rsidRPr="001A60D6">
        <w:rPr>
          <w:rFonts w:ascii="Aptos" w:hAnsi="Aptos"/>
          <w:color w:val="000000" w:themeColor="text1"/>
          <w:sz w:val="22"/>
          <w:szCs w:val="22"/>
        </w:rPr>
        <w:t>The</w:t>
      </w:r>
      <w:r w:rsidRPr="001A60D6">
        <w:rPr>
          <w:rFonts w:ascii="Aptos" w:hAnsi="Aptos"/>
          <w:color w:val="000000" w:themeColor="text1"/>
          <w:sz w:val="22"/>
          <w:szCs w:val="22"/>
        </w:rPr>
        <w:t xml:space="preserve"> patient </w:t>
      </w:r>
      <w:r w:rsidR="006717D7" w:rsidRPr="001A60D6">
        <w:rPr>
          <w:rFonts w:ascii="Aptos" w:hAnsi="Aptos"/>
          <w:color w:val="000000" w:themeColor="text1"/>
          <w:sz w:val="22"/>
          <w:szCs w:val="22"/>
        </w:rPr>
        <w:t>will be contacted by</w:t>
      </w:r>
      <w:r w:rsidR="002D2DEB" w:rsidRPr="001A60D6">
        <w:rPr>
          <w:rFonts w:ascii="Aptos" w:hAnsi="Aptos"/>
          <w:color w:val="000000" w:themeColor="text1"/>
          <w:sz w:val="22"/>
          <w:szCs w:val="22"/>
        </w:rPr>
        <w:t xml:space="preserve"> telephone or post by</w:t>
      </w:r>
      <w:r w:rsidRPr="001A60D6">
        <w:rPr>
          <w:rFonts w:ascii="Aptos" w:hAnsi="Aptos"/>
          <w:color w:val="000000" w:themeColor="text1"/>
          <w:sz w:val="22"/>
          <w:szCs w:val="22"/>
        </w:rPr>
        <w:t xml:space="preserve"> a member of the clinical team, who could reasonably be expected to have access to the patient’s medical details. This may include a research nurse affiliated to the intensive care unit in which the patient was treated.</w:t>
      </w:r>
    </w:p>
    <w:p w14:paraId="122C4E23" w14:textId="77777777" w:rsidR="007B3D45" w:rsidRPr="001A60D6" w:rsidRDefault="007B3D45" w:rsidP="00D42B9C">
      <w:pPr>
        <w:pStyle w:val="BodyText"/>
        <w:jc w:val="both"/>
        <w:rPr>
          <w:rFonts w:ascii="Aptos" w:hAnsi="Aptos"/>
          <w:color w:val="000000" w:themeColor="text1"/>
          <w:sz w:val="22"/>
          <w:szCs w:val="22"/>
        </w:rPr>
      </w:pPr>
      <w:r w:rsidRPr="001A60D6">
        <w:rPr>
          <w:rFonts w:ascii="Aptos" w:hAnsi="Aptos"/>
          <w:color w:val="000000" w:themeColor="text1"/>
          <w:sz w:val="22"/>
          <w:szCs w:val="22"/>
        </w:rPr>
        <w:t xml:space="preserve">Patients who cannot be contacted by phone and do not respond after a period of four weeks from an initial letter, will be sent a second letter in case the first letter </w:t>
      </w:r>
      <w:r w:rsidR="00F70085" w:rsidRPr="001A60D6">
        <w:rPr>
          <w:rFonts w:ascii="Aptos" w:hAnsi="Aptos"/>
          <w:color w:val="000000" w:themeColor="text1"/>
          <w:sz w:val="22"/>
          <w:szCs w:val="22"/>
        </w:rPr>
        <w:t>was</w:t>
      </w:r>
      <w:r w:rsidRPr="001A60D6">
        <w:rPr>
          <w:rFonts w:ascii="Aptos" w:hAnsi="Aptos"/>
          <w:color w:val="000000" w:themeColor="text1"/>
          <w:sz w:val="22"/>
          <w:szCs w:val="22"/>
        </w:rPr>
        <w:t xml:space="preserve"> lost in the post. If a patient does not respond to this second letter, the study team will assume that this patient does not want to participate.</w:t>
      </w:r>
    </w:p>
    <w:p w14:paraId="72CE96C0" w14:textId="5D156F63" w:rsidR="00324008" w:rsidRPr="001A60D6" w:rsidRDefault="00324008" w:rsidP="00CA6DA3">
      <w:pPr>
        <w:pStyle w:val="BodyText"/>
        <w:rPr>
          <w:rFonts w:ascii="Aptos" w:hAnsi="Aptos"/>
          <w:color w:val="000000" w:themeColor="text1"/>
          <w:sz w:val="22"/>
          <w:szCs w:val="22"/>
        </w:rPr>
      </w:pPr>
      <w:r w:rsidRPr="001A60D6">
        <w:rPr>
          <w:rFonts w:ascii="Aptos" w:hAnsi="Aptos"/>
          <w:color w:val="000000" w:themeColor="text1"/>
          <w:sz w:val="22"/>
          <w:szCs w:val="22"/>
        </w:rPr>
        <w:t>Patients may be contacted in the first instance by telephone or in writing, depending on the recruitment strategy and preference of the recruiting site. Letters may be personalised from the supplied template based on the local site knowledge of the patient if appropriate.</w:t>
      </w:r>
    </w:p>
    <w:p w14:paraId="48BE4D5C" w14:textId="77777777" w:rsidR="00F70085" w:rsidRPr="001A60D6" w:rsidRDefault="00F70085" w:rsidP="00D42B9C">
      <w:pPr>
        <w:pStyle w:val="BodyText"/>
        <w:jc w:val="both"/>
        <w:rPr>
          <w:rFonts w:ascii="Aptos" w:hAnsi="Aptos"/>
          <w:color w:val="000000" w:themeColor="text1"/>
          <w:sz w:val="22"/>
          <w:szCs w:val="22"/>
        </w:rPr>
      </w:pPr>
      <w:r w:rsidRPr="001A60D6">
        <w:rPr>
          <w:rFonts w:ascii="Aptos" w:hAnsi="Aptos"/>
          <w:color w:val="000000" w:themeColor="text1"/>
          <w:sz w:val="22"/>
          <w:szCs w:val="22"/>
        </w:rPr>
        <w:t xml:space="preserve">Patients in this category may also volunteer to take part in the study by registering their interest in the study online (see ‘Recruitment of a comparison (control) group’). </w:t>
      </w:r>
    </w:p>
    <w:p w14:paraId="47AAA88D" w14:textId="2BD7357E" w:rsidR="00CF137F" w:rsidRPr="001A60D6" w:rsidRDefault="00CF137F" w:rsidP="00CF137F">
      <w:pPr>
        <w:pStyle w:val="Heading2"/>
        <w:rPr>
          <w:rFonts w:ascii="Aptos" w:hAnsi="Aptos"/>
          <w:color w:val="000000" w:themeColor="text1"/>
        </w:rPr>
      </w:pPr>
      <w:bookmarkStart w:id="19" w:name="_Toc188625290"/>
      <w:r w:rsidRPr="1B9F46DA">
        <w:rPr>
          <w:rFonts w:ascii="Aptos" w:hAnsi="Aptos"/>
          <w:color w:val="000000" w:themeColor="text1"/>
        </w:rPr>
        <w:t xml:space="preserve">Recruitment </w:t>
      </w:r>
      <w:r w:rsidR="00C35C77" w:rsidRPr="1B9F46DA">
        <w:rPr>
          <w:rFonts w:ascii="Aptos" w:hAnsi="Aptos"/>
          <w:color w:val="000000" w:themeColor="text1"/>
        </w:rPr>
        <w:t>OF COMPARISON</w:t>
      </w:r>
      <w:r w:rsidRPr="1B9F46DA">
        <w:rPr>
          <w:rFonts w:ascii="Aptos" w:hAnsi="Aptos"/>
          <w:color w:val="000000" w:themeColor="text1"/>
        </w:rPr>
        <w:t xml:space="preserve"> (CONTROL) GROUP</w:t>
      </w:r>
      <w:bookmarkEnd w:id="19"/>
    </w:p>
    <w:p w14:paraId="7910F2CD" w14:textId="4825EB6C" w:rsidR="00CF137F" w:rsidRPr="001A60D6" w:rsidRDefault="00BE3515" w:rsidP="006B73E1">
      <w:pPr>
        <w:pStyle w:val="BodyText"/>
        <w:jc w:val="both"/>
        <w:rPr>
          <w:rFonts w:ascii="Aptos" w:hAnsi="Aptos"/>
          <w:color w:val="000000" w:themeColor="text1"/>
          <w:sz w:val="22"/>
          <w:szCs w:val="22"/>
        </w:rPr>
      </w:pPr>
      <w:r w:rsidRPr="001A60D6">
        <w:rPr>
          <w:rFonts w:ascii="Aptos" w:hAnsi="Aptos"/>
          <w:color w:val="000000" w:themeColor="text1"/>
          <w:sz w:val="22"/>
          <w:szCs w:val="22"/>
        </w:rPr>
        <w:t>Any person living in a region</w:t>
      </w:r>
      <w:r w:rsidR="00DA39FC" w:rsidRPr="001A60D6">
        <w:rPr>
          <w:rFonts w:ascii="Aptos" w:hAnsi="Aptos"/>
          <w:color w:val="000000" w:themeColor="text1"/>
          <w:sz w:val="22"/>
          <w:szCs w:val="22"/>
        </w:rPr>
        <w:t xml:space="preserve"> in which GenOMICC is recruiting critically ill</w:t>
      </w:r>
      <w:r w:rsidR="00A30C58" w:rsidRPr="001A60D6">
        <w:rPr>
          <w:rFonts w:ascii="Aptos" w:hAnsi="Aptos"/>
          <w:color w:val="000000" w:themeColor="text1"/>
          <w:sz w:val="22"/>
          <w:szCs w:val="22"/>
        </w:rPr>
        <w:t xml:space="preserve"> </w:t>
      </w:r>
      <w:r w:rsidR="00C35C77" w:rsidRPr="001A60D6">
        <w:rPr>
          <w:rFonts w:ascii="Aptos" w:hAnsi="Aptos"/>
          <w:color w:val="000000" w:themeColor="text1"/>
          <w:sz w:val="22"/>
          <w:szCs w:val="22"/>
        </w:rPr>
        <w:t>patients,</w:t>
      </w:r>
      <w:r w:rsidR="007C7427" w:rsidRPr="001A60D6">
        <w:rPr>
          <w:rFonts w:ascii="Aptos" w:hAnsi="Aptos"/>
          <w:color w:val="000000" w:themeColor="text1"/>
          <w:sz w:val="22"/>
          <w:szCs w:val="22"/>
        </w:rPr>
        <w:t xml:space="preserve"> will be </w:t>
      </w:r>
      <w:r w:rsidR="000A4518" w:rsidRPr="001A60D6">
        <w:rPr>
          <w:rFonts w:ascii="Aptos" w:hAnsi="Aptos"/>
          <w:color w:val="000000" w:themeColor="text1"/>
          <w:sz w:val="22"/>
          <w:szCs w:val="22"/>
        </w:rPr>
        <w:t>eligible</w:t>
      </w:r>
      <w:r w:rsidR="007C7427" w:rsidRPr="001A60D6">
        <w:rPr>
          <w:rFonts w:ascii="Aptos" w:hAnsi="Aptos"/>
          <w:color w:val="000000" w:themeColor="text1"/>
          <w:sz w:val="22"/>
          <w:szCs w:val="22"/>
        </w:rPr>
        <w:t xml:space="preserve"> to volunteer to take part in the study. </w:t>
      </w:r>
    </w:p>
    <w:p w14:paraId="73DC70C2" w14:textId="77777777" w:rsidR="009F14B0" w:rsidRPr="001A60D6" w:rsidRDefault="009F14B0" w:rsidP="00CA6DA3">
      <w:pPr>
        <w:pStyle w:val="BodyText"/>
        <w:jc w:val="both"/>
        <w:rPr>
          <w:rFonts w:ascii="Aptos" w:hAnsi="Aptos"/>
          <w:color w:val="000000" w:themeColor="text1"/>
          <w:sz w:val="22"/>
          <w:szCs w:val="22"/>
        </w:rPr>
      </w:pPr>
      <w:r w:rsidRPr="001A60D6">
        <w:rPr>
          <w:rFonts w:ascii="Aptos" w:hAnsi="Aptos"/>
          <w:color w:val="000000" w:themeColor="text1"/>
          <w:sz w:val="22"/>
          <w:szCs w:val="22"/>
        </w:rPr>
        <w:t>Volunteers will be able to provide their contact details on the study website and join the study either using conventional paper-based consent procedures or supplemented, where appropriate, with an online consent tool on the study website.</w:t>
      </w:r>
    </w:p>
    <w:p w14:paraId="6ADEB5A4" w14:textId="524C47BF" w:rsidR="009F14B0" w:rsidRPr="001A60D6" w:rsidRDefault="009F14B0" w:rsidP="00CA6DA3">
      <w:pPr>
        <w:pStyle w:val="BodyText"/>
        <w:jc w:val="both"/>
        <w:rPr>
          <w:rFonts w:ascii="Aptos" w:hAnsi="Aptos"/>
          <w:color w:val="000000" w:themeColor="text1"/>
          <w:sz w:val="22"/>
          <w:szCs w:val="22"/>
        </w:rPr>
      </w:pPr>
      <w:r w:rsidRPr="001A60D6">
        <w:rPr>
          <w:rFonts w:ascii="Aptos" w:hAnsi="Aptos"/>
          <w:color w:val="000000" w:themeColor="text1"/>
          <w:sz w:val="22"/>
          <w:szCs w:val="22"/>
        </w:rPr>
        <w:t>Volunteers may be contacted occasionally to share ethically approved information or updates about the study. Further, we may contact this group to ask if there would be interest in patient and public involvement (PPI) in research. PPI involvement of any kind is completely voluntary. Communication will be primarily electronically by email. Paper copies will be provided if requested.</w:t>
      </w:r>
    </w:p>
    <w:p w14:paraId="1A3F8A8D" w14:textId="77777777" w:rsidR="00E25A1E" w:rsidRPr="001A60D6" w:rsidRDefault="00522298" w:rsidP="00E25A1E">
      <w:pPr>
        <w:pStyle w:val="Heading2"/>
        <w:rPr>
          <w:rFonts w:ascii="Aptos" w:hAnsi="Aptos"/>
          <w:color w:val="000000" w:themeColor="text1"/>
        </w:rPr>
      </w:pPr>
      <w:bookmarkStart w:id="20" w:name="_Toc188625291"/>
      <w:r w:rsidRPr="1B9F46DA">
        <w:rPr>
          <w:rFonts w:ascii="Aptos" w:hAnsi="Aptos"/>
          <w:color w:val="000000" w:themeColor="text1"/>
        </w:rPr>
        <w:t xml:space="preserve">OBTAINING SAMPLES FROM </w:t>
      </w:r>
      <w:r w:rsidR="0004768B" w:rsidRPr="1B9F46DA">
        <w:rPr>
          <w:rFonts w:ascii="Aptos" w:hAnsi="Aptos"/>
          <w:color w:val="000000" w:themeColor="text1"/>
        </w:rPr>
        <w:t>PARTICIPANTS</w:t>
      </w:r>
      <w:r w:rsidRPr="1B9F46DA">
        <w:rPr>
          <w:rFonts w:ascii="Aptos" w:hAnsi="Aptos"/>
          <w:color w:val="000000" w:themeColor="text1"/>
        </w:rPr>
        <w:t xml:space="preserve"> IN THE COMMUNITY</w:t>
      </w:r>
      <w:bookmarkEnd w:id="20"/>
    </w:p>
    <w:p w14:paraId="12B3023E" w14:textId="2D83D0F4" w:rsidR="00E25A1E" w:rsidRPr="001A60D6" w:rsidRDefault="00C47159" w:rsidP="00D42B9C">
      <w:pPr>
        <w:pStyle w:val="BodyText"/>
        <w:jc w:val="both"/>
        <w:rPr>
          <w:rFonts w:ascii="Aptos" w:hAnsi="Aptos"/>
          <w:color w:val="000000" w:themeColor="text1"/>
          <w:sz w:val="22"/>
          <w:szCs w:val="22"/>
        </w:rPr>
      </w:pPr>
      <w:r w:rsidRPr="001A60D6">
        <w:rPr>
          <w:rFonts w:ascii="Aptos" w:hAnsi="Aptos"/>
          <w:color w:val="000000" w:themeColor="text1"/>
          <w:sz w:val="22"/>
          <w:szCs w:val="22"/>
        </w:rPr>
        <w:t>Participants</w:t>
      </w:r>
      <w:r w:rsidR="00E25A1E" w:rsidRPr="001A60D6">
        <w:rPr>
          <w:rFonts w:ascii="Aptos" w:hAnsi="Aptos"/>
          <w:color w:val="000000" w:themeColor="text1"/>
          <w:sz w:val="22"/>
          <w:szCs w:val="22"/>
        </w:rPr>
        <w:t xml:space="preserve"> will be offered multiple routes to participate in the study. Consent will be obtained and recorded (see below). Participants will be sent a</w:t>
      </w:r>
      <w:r w:rsidR="008031EF" w:rsidRPr="001A60D6">
        <w:rPr>
          <w:rFonts w:ascii="Aptos" w:hAnsi="Aptos"/>
          <w:color w:val="000000" w:themeColor="text1"/>
          <w:sz w:val="22"/>
          <w:szCs w:val="22"/>
        </w:rPr>
        <w:t xml:space="preserve"> </w:t>
      </w:r>
      <w:r w:rsidR="00972BB4" w:rsidRPr="001A60D6">
        <w:rPr>
          <w:rFonts w:ascii="Aptos" w:hAnsi="Aptos"/>
          <w:color w:val="000000" w:themeColor="text1"/>
          <w:sz w:val="22"/>
          <w:szCs w:val="22"/>
        </w:rPr>
        <w:t>record of their consent</w:t>
      </w:r>
      <w:r w:rsidR="00E25A1E" w:rsidRPr="001A60D6">
        <w:rPr>
          <w:rFonts w:ascii="Aptos" w:hAnsi="Aptos"/>
          <w:color w:val="000000" w:themeColor="text1"/>
          <w:sz w:val="22"/>
          <w:szCs w:val="22"/>
        </w:rPr>
        <w:t xml:space="preserve"> and </w:t>
      </w:r>
      <w:r w:rsidRPr="001A60D6">
        <w:rPr>
          <w:rFonts w:ascii="Aptos" w:hAnsi="Aptos"/>
          <w:color w:val="000000" w:themeColor="text1"/>
          <w:sz w:val="22"/>
          <w:szCs w:val="22"/>
        </w:rPr>
        <w:t xml:space="preserve">a </w:t>
      </w:r>
      <w:r w:rsidR="00E25A1E" w:rsidRPr="001A60D6">
        <w:rPr>
          <w:rFonts w:ascii="Aptos" w:hAnsi="Aptos"/>
          <w:color w:val="000000" w:themeColor="text1"/>
          <w:sz w:val="22"/>
          <w:szCs w:val="22"/>
        </w:rPr>
        <w:t>sample collection kit</w:t>
      </w:r>
      <w:r w:rsidR="00D42B9C" w:rsidRPr="001A60D6">
        <w:rPr>
          <w:rFonts w:ascii="Aptos" w:hAnsi="Aptos"/>
          <w:color w:val="000000" w:themeColor="text1"/>
          <w:sz w:val="22"/>
          <w:szCs w:val="22"/>
        </w:rPr>
        <w:t xml:space="preserve">. The kit will contain </w:t>
      </w:r>
      <w:r w:rsidRPr="001A60D6">
        <w:rPr>
          <w:rFonts w:ascii="Aptos" w:hAnsi="Aptos"/>
          <w:color w:val="000000" w:themeColor="text1"/>
          <w:sz w:val="22"/>
          <w:szCs w:val="22"/>
        </w:rPr>
        <w:t xml:space="preserve">a copy of the information sheet, </w:t>
      </w:r>
      <w:r w:rsidR="00D42B9C" w:rsidRPr="001A60D6">
        <w:rPr>
          <w:rFonts w:ascii="Aptos" w:hAnsi="Aptos"/>
          <w:color w:val="000000" w:themeColor="text1"/>
          <w:sz w:val="22"/>
          <w:szCs w:val="22"/>
        </w:rPr>
        <w:t>a pre-labelled EDTA blood collection tube</w:t>
      </w:r>
      <w:r w:rsidRPr="001A60D6">
        <w:rPr>
          <w:rFonts w:ascii="Aptos" w:hAnsi="Aptos"/>
          <w:color w:val="000000" w:themeColor="text1"/>
          <w:sz w:val="22"/>
          <w:szCs w:val="22"/>
        </w:rPr>
        <w:t xml:space="preserve"> and</w:t>
      </w:r>
      <w:r w:rsidR="00D42B9C" w:rsidRPr="001A60D6">
        <w:rPr>
          <w:rFonts w:ascii="Aptos" w:hAnsi="Aptos"/>
          <w:color w:val="000000" w:themeColor="text1"/>
          <w:sz w:val="22"/>
          <w:szCs w:val="22"/>
        </w:rPr>
        <w:t xml:space="preserve"> UN</w:t>
      </w:r>
      <w:r w:rsidR="00E25A1E" w:rsidRPr="001A60D6">
        <w:rPr>
          <w:rFonts w:ascii="Aptos" w:hAnsi="Aptos"/>
          <w:color w:val="000000" w:themeColor="text1"/>
          <w:sz w:val="22"/>
          <w:szCs w:val="22"/>
        </w:rPr>
        <w:t>3373-compliant sample transport packagin</w:t>
      </w:r>
      <w:r w:rsidRPr="001A60D6">
        <w:rPr>
          <w:rFonts w:ascii="Aptos" w:hAnsi="Aptos"/>
          <w:color w:val="000000" w:themeColor="text1"/>
          <w:sz w:val="22"/>
          <w:szCs w:val="22"/>
        </w:rPr>
        <w:t>g</w:t>
      </w:r>
      <w:r w:rsidR="00D42B9C" w:rsidRPr="001A60D6">
        <w:rPr>
          <w:rFonts w:ascii="Aptos" w:hAnsi="Aptos"/>
          <w:color w:val="000000" w:themeColor="text1"/>
          <w:sz w:val="22"/>
          <w:szCs w:val="22"/>
        </w:rPr>
        <w:t xml:space="preserve">. </w:t>
      </w:r>
      <w:r w:rsidR="00E25A1E" w:rsidRPr="001A60D6">
        <w:rPr>
          <w:rFonts w:ascii="Aptos" w:hAnsi="Aptos"/>
          <w:color w:val="000000" w:themeColor="text1"/>
          <w:sz w:val="22"/>
          <w:szCs w:val="22"/>
        </w:rPr>
        <w:t xml:space="preserve">Venepuncture will then be performed by a qualified healthcare provider or phlebotomist in a location that meets the needs of the participant, subject to availability. These </w:t>
      </w:r>
      <w:r w:rsidR="00362608" w:rsidRPr="001A60D6">
        <w:rPr>
          <w:rFonts w:ascii="Aptos" w:hAnsi="Aptos"/>
          <w:color w:val="000000" w:themeColor="text1"/>
          <w:sz w:val="22"/>
          <w:szCs w:val="22"/>
        </w:rPr>
        <w:t>may</w:t>
      </w:r>
      <w:r w:rsidR="00E25A1E" w:rsidRPr="001A60D6">
        <w:rPr>
          <w:rFonts w:ascii="Aptos" w:hAnsi="Aptos"/>
          <w:color w:val="000000" w:themeColor="text1"/>
          <w:sz w:val="22"/>
          <w:szCs w:val="22"/>
        </w:rPr>
        <w:t xml:space="preserve"> include: a district nurse, a research nurse operating in an outpatient clinic or clinical research facility, a research nurse in the patient’s home, or an otherwise appropriately-qualified practitioner</w:t>
      </w:r>
      <w:r w:rsidR="00D07D93" w:rsidRPr="001A60D6">
        <w:rPr>
          <w:rFonts w:ascii="Aptos" w:hAnsi="Aptos"/>
          <w:color w:val="000000" w:themeColor="text1"/>
          <w:sz w:val="22"/>
          <w:szCs w:val="22"/>
        </w:rPr>
        <w:t xml:space="preserve"> in an appropriate location, </w:t>
      </w:r>
      <w:r w:rsidR="00E25A1E" w:rsidRPr="001A60D6">
        <w:rPr>
          <w:rFonts w:ascii="Aptos" w:hAnsi="Aptos"/>
          <w:color w:val="000000" w:themeColor="text1"/>
          <w:sz w:val="22"/>
          <w:szCs w:val="22"/>
        </w:rPr>
        <w:t xml:space="preserve">subject to </w:t>
      </w:r>
      <w:r w:rsidRPr="001A60D6">
        <w:rPr>
          <w:rFonts w:ascii="Aptos" w:hAnsi="Aptos"/>
          <w:color w:val="000000" w:themeColor="text1"/>
          <w:sz w:val="22"/>
          <w:szCs w:val="22"/>
        </w:rPr>
        <w:t xml:space="preserve">local </w:t>
      </w:r>
      <w:r w:rsidR="00E25A1E" w:rsidRPr="001A60D6">
        <w:rPr>
          <w:rFonts w:ascii="Aptos" w:hAnsi="Aptos"/>
          <w:color w:val="000000" w:themeColor="text1"/>
          <w:sz w:val="22"/>
          <w:szCs w:val="22"/>
        </w:rPr>
        <w:t>risk assessment</w:t>
      </w:r>
      <w:r w:rsidRPr="001A60D6">
        <w:rPr>
          <w:rFonts w:ascii="Aptos" w:hAnsi="Aptos"/>
          <w:color w:val="000000" w:themeColor="text1"/>
          <w:sz w:val="22"/>
          <w:szCs w:val="22"/>
        </w:rPr>
        <w:t>s and standard operating procedures</w:t>
      </w:r>
      <w:r w:rsidR="00E25A1E" w:rsidRPr="001A60D6">
        <w:rPr>
          <w:rFonts w:ascii="Aptos" w:hAnsi="Aptos"/>
          <w:color w:val="000000" w:themeColor="text1"/>
          <w:sz w:val="22"/>
          <w:szCs w:val="22"/>
        </w:rPr>
        <w:t>. In the event that a blood sample cannot be obtained, patients will be sent a saliva collection kit by post.</w:t>
      </w:r>
    </w:p>
    <w:p w14:paraId="35665189" w14:textId="541FACD4" w:rsidR="000838F8" w:rsidRPr="001A60D6" w:rsidRDefault="000838F8" w:rsidP="00D42B9C">
      <w:pPr>
        <w:pStyle w:val="BodyText"/>
        <w:jc w:val="both"/>
        <w:rPr>
          <w:rFonts w:ascii="Aptos" w:hAnsi="Aptos"/>
          <w:color w:val="000000" w:themeColor="text1"/>
          <w:sz w:val="22"/>
          <w:szCs w:val="22"/>
        </w:rPr>
      </w:pPr>
      <w:r w:rsidRPr="001A60D6">
        <w:rPr>
          <w:rFonts w:ascii="Aptos" w:hAnsi="Aptos"/>
          <w:color w:val="000000" w:themeColor="text1"/>
          <w:sz w:val="22"/>
          <w:szCs w:val="22"/>
        </w:rPr>
        <w:t>REPEAT SAMPLING OF SURVIVORS</w:t>
      </w:r>
    </w:p>
    <w:p w14:paraId="5E7DE892" w14:textId="77777777" w:rsidR="00055F40" w:rsidRPr="001A60D6" w:rsidRDefault="00055F40" w:rsidP="00CA6DA3">
      <w:pPr>
        <w:pStyle w:val="BodyText"/>
        <w:rPr>
          <w:rFonts w:ascii="Aptos" w:hAnsi="Aptos"/>
          <w:color w:val="000000" w:themeColor="text1"/>
          <w:sz w:val="22"/>
          <w:szCs w:val="22"/>
        </w:rPr>
      </w:pPr>
      <w:r w:rsidRPr="001A60D6">
        <w:rPr>
          <w:rFonts w:ascii="Aptos" w:hAnsi="Aptos"/>
          <w:color w:val="000000" w:themeColor="text1"/>
          <w:sz w:val="22"/>
          <w:szCs w:val="22"/>
        </w:rPr>
        <w:t>Following recovery from acute illness, a subset of critical illness survivors will be invited to provide additional blood samples for further investigation at specific centres.</w:t>
      </w:r>
    </w:p>
    <w:p w14:paraId="39D92466" w14:textId="4CFB5DC3" w:rsidR="00FF2DC5" w:rsidRPr="001A60D6" w:rsidRDefault="00DD4A30">
      <w:pPr>
        <w:pStyle w:val="Heading2"/>
        <w:rPr>
          <w:rFonts w:ascii="Aptos" w:hAnsi="Aptos"/>
          <w:color w:val="000000" w:themeColor="text1"/>
        </w:rPr>
      </w:pPr>
      <w:bookmarkStart w:id="21" w:name="_Toc188625292"/>
      <w:r w:rsidRPr="1B9F46DA">
        <w:rPr>
          <w:rFonts w:ascii="Aptos" w:hAnsi="Aptos"/>
          <w:color w:val="000000" w:themeColor="text1"/>
        </w:rPr>
        <w:t>STUDY ELIGIBILITY</w:t>
      </w:r>
      <w:bookmarkEnd w:id="21"/>
    </w:p>
    <w:p w14:paraId="5A562A87" w14:textId="77777777" w:rsidR="00FF2DC5" w:rsidRPr="001A60D6" w:rsidRDefault="00577725">
      <w:pPr>
        <w:pStyle w:val="Heading3"/>
        <w:rPr>
          <w:rFonts w:ascii="Aptos" w:hAnsi="Aptos"/>
          <w:color w:val="000000" w:themeColor="text1"/>
        </w:rPr>
      </w:pPr>
      <w:bookmarkStart w:id="22" w:name="inclusion-criteria"/>
      <w:bookmarkStart w:id="23" w:name="_Toc188625293"/>
      <w:r w:rsidRPr="1B9F46DA">
        <w:rPr>
          <w:rFonts w:ascii="Aptos" w:hAnsi="Aptos"/>
          <w:color w:val="000000" w:themeColor="text1"/>
        </w:rPr>
        <w:t>Inclusion criteria</w:t>
      </w:r>
      <w:bookmarkEnd w:id="22"/>
      <w:bookmarkEnd w:id="23"/>
    </w:p>
    <w:p w14:paraId="448577B7" w14:textId="68BDD807" w:rsidR="001C6DED" w:rsidRPr="001A60D6" w:rsidRDefault="002404F0" w:rsidP="00C47159">
      <w:pPr>
        <w:pStyle w:val="FirstParagraph"/>
        <w:jc w:val="both"/>
        <w:rPr>
          <w:rFonts w:ascii="Aptos" w:hAnsi="Aptos"/>
          <w:color w:val="000000" w:themeColor="text1"/>
          <w:sz w:val="22"/>
          <w:szCs w:val="22"/>
        </w:rPr>
      </w:pPr>
      <w:r w:rsidRPr="001A60D6">
        <w:rPr>
          <w:rFonts w:ascii="Aptos" w:hAnsi="Aptos"/>
          <w:color w:val="000000" w:themeColor="text1"/>
          <w:sz w:val="22"/>
          <w:szCs w:val="22"/>
        </w:rPr>
        <w:t>P</w:t>
      </w:r>
      <w:r w:rsidR="00577725" w:rsidRPr="001A60D6">
        <w:rPr>
          <w:rFonts w:ascii="Aptos" w:hAnsi="Aptos"/>
          <w:color w:val="000000" w:themeColor="text1"/>
          <w:sz w:val="22"/>
          <w:szCs w:val="22"/>
        </w:rPr>
        <w:t>atients will</w:t>
      </w:r>
      <w:r w:rsidR="00E326C7" w:rsidRPr="001A60D6">
        <w:rPr>
          <w:rFonts w:ascii="Aptos" w:hAnsi="Aptos"/>
          <w:color w:val="000000" w:themeColor="text1"/>
          <w:sz w:val="22"/>
          <w:szCs w:val="22"/>
        </w:rPr>
        <w:t xml:space="preserve"> </w:t>
      </w:r>
      <w:r w:rsidR="00577725" w:rsidRPr="001A60D6">
        <w:rPr>
          <w:rFonts w:ascii="Aptos" w:hAnsi="Aptos"/>
          <w:color w:val="000000" w:themeColor="text1"/>
          <w:sz w:val="22"/>
          <w:szCs w:val="22"/>
        </w:rPr>
        <w:t>be recruited who:</w:t>
      </w:r>
    </w:p>
    <w:p w14:paraId="4F4E849E" w14:textId="0F4B0AD3" w:rsidR="00FF2DC5" w:rsidRPr="001A60D6" w:rsidRDefault="00577725" w:rsidP="00B309BD">
      <w:pPr>
        <w:pStyle w:val="ListParagraph"/>
        <w:numPr>
          <w:ilvl w:val="0"/>
          <w:numId w:val="28"/>
        </w:numPr>
        <w:jc w:val="both"/>
        <w:rPr>
          <w:rFonts w:ascii="Aptos" w:hAnsi="Aptos"/>
          <w:color w:val="000000" w:themeColor="text1"/>
          <w:sz w:val="22"/>
          <w:szCs w:val="22"/>
        </w:rPr>
      </w:pPr>
      <w:r w:rsidRPr="001A60D6">
        <w:rPr>
          <w:rFonts w:ascii="Aptos" w:hAnsi="Aptos"/>
          <w:color w:val="000000" w:themeColor="text1"/>
          <w:sz w:val="22"/>
          <w:szCs w:val="22"/>
        </w:rPr>
        <w:t xml:space="preserve">Are deemed, in the view of the treating </w:t>
      </w:r>
      <w:r w:rsidR="00895E61" w:rsidRPr="001A60D6">
        <w:rPr>
          <w:rFonts w:ascii="Aptos" w:hAnsi="Aptos"/>
          <w:color w:val="000000" w:themeColor="text1"/>
          <w:sz w:val="22"/>
          <w:szCs w:val="22"/>
        </w:rPr>
        <w:t>clinician</w:t>
      </w:r>
      <w:r w:rsidRPr="001A60D6">
        <w:rPr>
          <w:rFonts w:ascii="Aptos" w:hAnsi="Aptos"/>
          <w:color w:val="000000" w:themeColor="text1"/>
          <w:sz w:val="22"/>
          <w:szCs w:val="22"/>
        </w:rPr>
        <w:t>, to require continuous cardiovascular or respiratory monitoring</w:t>
      </w:r>
      <w:r w:rsidR="0088604D" w:rsidRPr="001A60D6">
        <w:rPr>
          <w:rFonts w:ascii="Aptos" w:hAnsi="Aptos"/>
          <w:color w:val="000000" w:themeColor="text1"/>
          <w:sz w:val="22"/>
          <w:szCs w:val="22"/>
        </w:rPr>
        <w:t xml:space="preserve"> or </w:t>
      </w:r>
      <w:r w:rsidR="001F087B" w:rsidRPr="001A60D6">
        <w:rPr>
          <w:rFonts w:ascii="Aptos" w:hAnsi="Aptos"/>
          <w:color w:val="000000" w:themeColor="text1"/>
          <w:sz w:val="22"/>
          <w:szCs w:val="22"/>
        </w:rPr>
        <w:t>any organ</w:t>
      </w:r>
      <w:r w:rsidR="00D20210" w:rsidRPr="001A60D6">
        <w:rPr>
          <w:rFonts w:ascii="Aptos" w:hAnsi="Aptos"/>
          <w:color w:val="000000" w:themeColor="text1"/>
          <w:sz w:val="22"/>
          <w:szCs w:val="22"/>
        </w:rPr>
        <w:t xml:space="preserve"> support</w:t>
      </w:r>
      <w:r w:rsidRPr="001A60D6">
        <w:rPr>
          <w:rFonts w:ascii="Aptos" w:hAnsi="Aptos"/>
          <w:color w:val="000000" w:themeColor="text1"/>
          <w:sz w:val="22"/>
          <w:szCs w:val="22"/>
        </w:rPr>
        <w:t>,</w:t>
      </w:r>
    </w:p>
    <w:p w14:paraId="124272C6" w14:textId="77777777" w:rsidR="00FF2DC5" w:rsidRPr="001A60D6" w:rsidRDefault="00577725" w:rsidP="00B309BD">
      <w:pPr>
        <w:pStyle w:val="ListParagraph"/>
        <w:numPr>
          <w:ilvl w:val="0"/>
          <w:numId w:val="28"/>
        </w:numPr>
        <w:jc w:val="both"/>
        <w:rPr>
          <w:rFonts w:ascii="Aptos" w:hAnsi="Aptos"/>
          <w:color w:val="000000" w:themeColor="text1"/>
          <w:sz w:val="22"/>
          <w:szCs w:val="22"/>
        </w:rPr>
      </w:pPr>
      <w:r w:rsidRPr="001A60D6">
        <w:rPr>
          <w:rFonts w:ascii="Aptos" w:hAnsi="Aptos"/>
          <w:color w:val="000000" w:themeColor="text1"/>
          <w:sz w:val="22"/>
          <w:szCs w:val="22"/>
        </w:rPr>
        <w:t>AND provide appropriate consent or assent,</w:t>
      </w:r>
    </w:p>
    <w:p w14:paraId="1A39D373" w14:textId="6BDE0FD2" w:rsidR="00C333F8" w:rsidRPr="001A60D6" w:rsidRDefault="001A11B5" w:rsidP="00B309BD">
      <w:pPr>
        <w:pStyle w:val="ListParagraph"/>
        <w:numPr>
          <w:ilvl w:val="0"/>
          <w:numId w:val="28"/>
        </w:numPr>
        <w:jc w:val="both"/>
        <w:rPr>
          <w:rFonts w:ascii="Aptos" w:hAnsi="Aptos"/>
          <w:color w:val="000000" w:themeColor="text1"/>
          <w:sz w:val="22"/>
          <w:szCs w:val="22"/>
        </w:rPr>
      </w:pPr>
      <w:r w:rsidRPr="001A60D6">
        <w:rPr>
          <w:rFonts w:ascii="Aptos" w:hAnsi="Aptos"/>
          <w:color w:val="000000" w:themeColor="text1"/>
          <w:sz w:val="22"/>
          <w:szCs w:val="22"/>
        </w:rPr>
        <w:t>AND whose</w:t>
      </w:r>
      <w:r w:rsidR="00E17FCB" w:rsidRPr="001A60D6">
        <w:rPr>
          <w:rFonts w:ascii="Aptos" w:hAnsi="Aptos"/>
          <w:color w:val="000000" w:themeColor="text1"/>
          <w:sz w:val="22"/>
          <w:szCs w:val="22"/>
        </w:rPr>
        <w:t xml:space="preserve"> primary reason for admission is </w:t>
      </w:r>
      <w:r w:rsidR="00577725" w:rsidRPr="001A60D6">
        <w:rPr>
          <w:rFonts w:ascii="Aptos" w:hAnsi="Aptos"/>
          <w:color w:val="000000" w:themeColor="text1"/>
          <w:sz w:val="22"/>
          <w:szCs w:val="22"/>
        </w:rPr>
        <w:t>one of the following primary diagnoses:</w:t>
      </w:r>
    </w:p>
    <w:p w14:paraId="0F00673B" w14:textId="77777777" w:rsidR="00C34BF7" w:rsidRPr="001A60D6" w:rsidRDefault="00C34BF7" w:rsidP="00C34BF7">
      <w:pPr>
        <w:pStyle w:val="ListParagraph"/>
        <w:numPr>
          <w:ilvl w:val="1"/>
          <w:numId w:val="28"/>
        </w:numPr>
        <w:rPr>
          <w:rFonts w:ascii="Aptos" w:hAnsi="Aptos"/>
          <w:color w:val="000000" w:themeColor="text1"/>
          <w:sz w:val="22"/>
          <w:szCs w:val="22"/>
        </w:rPr>
      </w:pPr>
      <w:r w:rsidRPr="001A60D6">
        <w:rPr>
          <w:rFonts w:ascii="Aptos" w:hAnsi="Aptos"/>
          <w:color w:val="000000" w:themeColor="text1"/>
          <w:sz w:val="22"/>
          <w:szCs w:val="22"/>
        </w:rPr>
        <w:t>Critical illness caused by any confirmed or suspected infection</w:t>
      </w:r>
    </w:p>
    <w:p w14:paraId="7D75DAEB" w14:textId="379BC664" w:rsidR="001B065A" w:rsidRPr="001A60D6" w:rsidRDefault="001B065A" w:rsidP="6F22AE3B">
      <w:pPr>
        <w:numPr>
          <w:ilvl w:val="0"/>
          <w:numId w:val="2"/>
        </w:numPr>
        <w:jc w:val="both"/>
        <w:rPr>
          <w:rFonts w:ascii="Aptos" w:hAnsi="Aptos"/>
          <w:color w:val="000000" w:themeColor="text1"/>
          <w:sz w:val="22"/>
          <w:szCs w:val="22"/>
        </w:rPr>
      </w:pPr>
      <w:r w:rsidRPr="1E80EA85">
        <w:rPr>
          <w:rFonts w:ascii="Aptos" w:hAnsi="Aptos"/>
          <w:i/>
          <w:iCs/>
          <w:smallCaps/>
          <w:color w:val="000000" w:themeColor="text1"/>
          <w:sz w:val="22"/>
          <w:szCs w:val="22"/>
        </w:rPr>
        <w:t>OR</w:t>
      </w:r>
    </w:p>
    <w:p w14:paraId="0C1A77BE" w14:textId="41F6EF0E" w:rsidR="00FF2DC5" w:rsidRPr="001A60D6" w:rsidRDefault="009E4651" w:rsidP="00CA6DA3">
      <w:pPr>
        <w:pStyle w:val="NoSpacing"/>
        <w:numPr>
          <w:ilvl w:val="0"/>
          <w:numId w:val="36"/>
        </w:numPr>
        <w:rPr>
          <w:rFonts w:ascii="Aptos" w:hAnsi="Aptos"/>
          <w:sz w:val="22"/>
          <w:szCs w:val="22"/>
        </w:rPr>
      </w:pPr>
      <w:r w:rsidRPr="001A60D6">
        <w:rPr>
          <w:rFonts w:ascii="Aptos" w:hAnsi="Aptos"/>
          <w:sz w:val="22"/>
          <w:szCs w:val="22"/>
        </w:rPr>
        <w:t>C</w:t>
      </w:r>
      <w:r w:rsidR="00F25814" w:rsidRPr="001A60D6">
        <w:rPr>
          <w:rFonts w:ascii="Aptos" w:hAnsi="Aptos"/>
          <w:sz w:val="22"/>
          <w:szCs w:val="22"/>
        </w:rPr>
        <w:t>ommon non-infectious critical illness syndromes:</w:t>
      </w:r>
    </w:p>
    <w:p w14:paraId="096B6AF6" w14:textId="791D468D" w:rsidR="002311D5" w:rsidRPr="001A60D6" w:rsidRDefault="002311D5" w:rsidP="00C15A6F">
      <w:pPr>
        <w:pStyle w:val="ListParagraph"/>
        <w:numPr>
          <w:ilvl w:val="0"/>
          <w:numId w:val="44"/>
        </w:numPr>
        <w:jc w:val="both"/>
        <w:rPr>
          <w:rFonts w:ascii="Aptos" w:hAnsi="Aptos"/>
          <w:color w:val="000000" w:themeColor="text1"/>
          <w:sz w:val="22"/>
          <w:szCs w:val="22"/>
        </w:rPr>
      </w:pPr>
      <w:r w:rsidRPr="001A60D6">
        <w:rPr>
          <w:rFonts w:ascii="Aptos" w:hAnsi="Aptos"/>
          <w:bCs/>
          <w:color w:val="000000" w:themeColor="text1"/>
          <w:sz w:val="22"/>
          <w:szCs w:val="22"/>
        </w:rPr>
        <w:t>Pancreatitis</w:t>
      </w:r>
      <w:r w:rsidR="00857D8B" w:rsidRPr="001A60D6">
        <w:rPr>
          <w:rFonts w:ascii="Aptos" w:hAnsi="Aptos"/>
          <w:bCs/>
          <w:color w:val="000000" w:themeColor="text1"/>
          <w:sz w:val="22"/>
          <w:szCs w:val="22"/>
        </w:rPr>
        <w:t xml:space="preserve"> of any aetiology</w:t>
      </w:r>
      <w:r w:rsidR="00577725" w:rsidRPr="001A60D6">
        <w:rPr>
          <w:rFonts w:ascii="Aptos" w:hAnsi="Aptos"/>
          <w:b/>
          <w:color w:val="000000" w:themeColor="text1"/>
          <w:sz w:val="22"/>
          <w:szCs w:val="22"/>
        </w:rPr>
        <w:t>.</w:t>
      </w:r>
    </w:p>
    <w:p w14:paraId="6E70743C" w14:textId="667DA9FA" w:rsidR="00FF2DC5" w:rsidRPr="001A60D6" w:rsidRDefault="00577725" w:rsidP="00C15A6F">
      <w:pPr>
        <w:pStyle w:val="ListParagraph"/>
        <w:numPr>
          <w:ilvl w:val="0"/>
          <w:numId w:val="44"/>
        </w:numPr>
        <w:jc w:val="both"/>
        <w:rPr>
          <w:rFonts w:ascii="Aptos" w:hAnsi="Aptos"/>
          <w:color w:val="000000" w:themeColor="text1"/>
          <w:sz w:val="22"/>
          <w:szCs w:val="22"/>
        </w:rPr>
      </w:pPr>
      <w:r w:rsidRPr="001A60D6">
        <w:rPr>
          <w:rFonts w:ascii="Aptos" w:hAnsi="Aptos"/>
          <w:color w:val="000000" w:themeColor="text1"/>
          <w:sz w:val="22"/>
          <w:szCs w:val="22"/>
        </w:rPr>
        <w:t xml:space="preserve">Full thickness burns covering </w:t>
      </w:r>
      <m:oMath>
        <m:r>
          <w:rPr>
            <w:rFonts w:ascii="Cambria Math" w:hAnsi="Cambria Math"/>
            <w:color w:val="000000" w:themeColor="text1"/>
            <w:sz w:val="22"/>
            <w:szCs w:val="22"/>
          </w:rPr>
          <m:t>&gt;20%</m:t>
        </m:r>
      </m:oMath>
      <w:r w:rsidRPr="001A60D6">
        <w:rPr>
          <w:rFonts w:ascii="Aptos" w:hAnsi="Aptos"/>
          <w:color w:val="000000" w:themeColor="text1"/>
          <w:sz w:val="22"/>
          <w:szCs w:val="22"/>
        </w:rPr>
        <w:t xml:space="preserve"> of body surface area.</w:t>
      </w:r>
    </w:p>
    <w:p w14:paraId="6405CE24" w14:textId="77777777" w:rsidR="00BA07D7" w:rsidRPr="001A60D6" w:rsidRDefault="00BA07D7" w:rsidP="00BA07D7">
      <w:pPr>
        <w:pStyle w:val="ListParagraph"/>
        <w:ind w:left="1800"/>
        <w:jc w:val="both"/>
        <w:rPr>
          <w:rFonts w:ascii="Aptos" w:hAnsi="Aptos"/>
          <w:color w:val="000000" w:themeColor="text1"/>
          <w:sz w:val="22"/>
          <w:szCs w:val="22"/>
        </w:rPr>
      </w:pPr>
    </w:p>
    <w:p w14:paraId="744186B1" w14:textId="3E975D35" w:rsidR="00310AE4" w:rsidRPr="001A60D6" w:rsidRDefault="00F44677" w:rsidP="00BA07D7">
      <w:pPr>
        <w:pStyle w:val="ListParagraph"/>
        <w:numPr>
          <w:ilvl w:val="0"/>
          <w:numId w:val="36"/>
        </w:numPr>
        <w:jc w:val="both"/>
        <w:rPr>
          <w:rStyle w:val="normaltextrun"/>
          <w:rFonts w:ascii="Aptos" w:hAnsi="Aptos"/>
          <w:color w:val="000000" w:themeColor="text1"/>
          <w:sz w:val="22"/>
          <w:szCs w:val="22"/>
        </w:rPr>
      </w:pPr>
      <w:r w:rsidRPr="001A60D6">
        <w:rPr>
          <w:rFonts w:ascii="Aptos" w:hAnsi="Aptos"/>
          <w:bCs/>
          <w:color w:val="000000" w:themeColor="text1"/>
          <w:sz w:val="22"/>
          <w:szCs w:val="22"/>
        </w:rPr>
        <w:t>Rare non-infectious</w:t>
      </w:r>
      <w:r w:rsidR="00577725" w:rsidRPr="001A60D6">
        <w:rPr>
          <w:rFonts w:ascii="Aptos" w:hAnsi="Aptos"/>
          <w:bCs/>
          <w:color w:val="000000" w:themeColor="text1"/>
          <w:sz w:val="22"/>
          <w:szCs w:val="22"/>
        </w:rPr>
        <w:t xml:space="preserve"> critical illness syndromes</w:t>
      </w:r>
      <w:r w:rsidR="00371BB0" w:rsidRPr="001A60D6">
        <w:rPr>
          <w:rFonts w:ascii="Aptos" w:hAnsi="Aptos"/>
          <w:color w:val="000000" w:themeColor="text1"/>
          <w:sz w:val="22"/>
          <w:szCs w:val="22"/>
        </w:rPr>
        <w:t>:</w:t>
      </w:r>
    </w:p>
    <w:p w14:paraId="10D93029" w14:textId="77777777" w:rsidR="00310AE4" w:rsidRPr="001A60D6" w:rsidRDefault="00310AE4" w:rsidP="00BA07D7">
      <w:pPr>
        <w:pStyle w:val="BasicBulletList"/>
        <w:numPr>
          <w:ilvl w:val="2"/>
          <w:numId w:val="45"/>
        </w:numPr>
        <w:rPr>
          <w:rStyle w:val="normaltextrun"/>
          <w:szCs w:val="22"/>
        </w:rPr>
      </w:pPr>
      <w:r w:rsidRPr="001A60D6">
        <w:rPr>
          <w:rStyle w:val="normaltextrun"/>
          <w:szCs w:val="22"/>
        </w:rPr>
        <w:t>Haemophagocytic syndrome</w:t>
      </w:r>
      <w:r w:rsidRPr="001A60D6">
        <w:rPr>
          <w:szCs w:val="22"/>
        </w:rPr>
        <w:t> </w:t>
      </w:r>
    </w:p>
    <w:p w14:paraId="7719521C" w14:textId="77777777" w:rsidR="00310AE4" w:rsidRPr="001A60D6" w:rsidRDefault="00310AE4" w:rsidP="00BA07D7">
      <w:pPr>
        <w:pStyle w:val="BasicBulletList"/>
        <w:numPr>
          <w:ilvl w:val="2"/>
          <w:numId w:val="45"/>
        </w:numPr>
        <w:rPr>
          <w:szCs w:val="22"/>
        </w:rPr>
      </w:pPr>
      <w:r w:rsidRPr="001A60D6">
        <w:rPr>
          <w:rStyle w:val="normaltextrun"/>
          <w:szCs w:val="22"/>
        </w:rPr>
        <w:t>Still’s disease</w:t>
      </w:r>
      <w:r w:rsidRPr="001A60D6">
        <w:rPr>
          <w:szCs w:val="22"/>
        </w:rPr>
        <w:t> </w:t>
      </w:r>
    </w:p>
    <w:p w14:paraId="216FE560" w14:textId="77777777" w:rsidR="00310AE4" w:rsidRPr="001A60D6" w:rsidRDefault="00310AE4" w:rsidP="00BA07D7">
      <w:pPr>
        <w:pStyle w:val="BasicBulletList"/>
        <w:numPr>
          <w:ilvl w:val="2"/>
          <w:numId w:val="45"/>
        </w:numPr>
        <w:rPr>
          <w:szCs w:val="22"/>
        </w:rPr>
      </w:pPr>
      <w:r w:rsidRPr="001A60D6">
        <w:rPr>
          <w:rStyle w:val="normaltextrun"/>
          <w:szCs w:val="22"/>
        </w:rPr>
        <w:t>Heat stroke</w:t>
      </w:r>
      <w:r w:rsidRPr="001A60D6">
        <w:rPr>
          <w:szCs w:val="22"/>
        </w:rPr>
        <w:t> </w:t>
      </w:r>
    </w:p>
    <w:p w14:paraId="5CBF4840" w14:textId="77777777" w:rsidR="00310AE4" w:rsidRPr="001A60D6" w:rsidRDefault="00310AE4" w:rsidP="00BA07D7">
      <w:pPr>
        <w:pStyle w:val="BasicBulletList"/>
        <w:numPr>
          <w:ilvl w:val="2"/>
          <w:numId w:val="45"/>
        </w:numPr>
        <w:rPr>
          <w:szCs w:val="22"/>
        </w:rPr>
      </w:pPr>
      <w:r w:rsidRPr="001A60D6">
        <w:rPr>
          <w:rStyle w:val="normaltextrun"/>
          <w:szCs w:val="22"/>
        </w:rPr>
        <w:t>Radiation poisoning</w:t>
      </w:r>
      <w:r w:rsidRPr="001A60D6">
        <w:rPr>
          <w:szCs w:val="22"/>
        </w:rPr>
        <w:t> </w:t>
      </w:r>
    </w:p>
    <w:p w14:paraId="314397D1" w14:textId="77777777" w:rsidR="00310AE4" w:rsidRPr="001A60D6" w:rsidRDefault="00310AE4" w:rsidP="00BA07D7">
      <w:pPr>
        <w:pStyle w:val="BasicBulletList"/>
        <w:numPr>
          <w:ilvl w:val="2"/>
          <w:numId w:val="45"/>
        </w:numPr>
        <w:rPr>
          <w:rStyle w:val="normaltextrun"/>
          <w:szCs w:val="22"/>
        </w:rPr>
      </w:pPr>
      <w:r w:rsidRPr="001A60D6">
        <w:rPr>
          <w:rStyle w:val="normaltextrun"/>
          <w:szCs w:val="22"/>
        </w:rPr>
        <w:t>Suspected reactions to therapeutic agents:</w:t>
      </w:r>
    </w:p>
    <w:p w14:paraId="0923FB3B" w14:textId="77777777" w:rsidR="00310AE4" w:rsidRPr="001A60D6" w:rsidRDefault="00310AE4" w:rsidP="00310AE4">
      <w:pPr>
        <w:pStyle w:val="BasicBulletList"/>
        <w:numPr>
          <w:ilvl w:val="3"/>
          <w:numId w:val="8"/>
        </w:numPr>
        <w:rPr>
          <w:rStyle w:val="normaltextrun"/>
          <w:szCs w:val="22"/>
        </w:rPr>
      </w:pPr>
      <w:r w:rsidRPr="001A60D6">
        <w:rPr>
          <w:rStyle w:val="normaltextrun"/>
          <w:szCs w:val="22"/>
        </w:rPr>
        <w:t>This includes cell therapies, gene therapy, CAR T-cell therapy, investigational drugs or vaccines in the view of the treating clinician. For example:</w:t>
      </w:r>
    </w:p>
    <w:p w14:paraId="4469B2CB" w14:textId="77777777" w:rsidR="00310AE4" w:rsidRPr="001A60D6" w:rsidRDefault="00310AE4" w:rsidP="00310AE4">
      <w:pPr>
        <w:pStyle w:val="BasicBulletList"/>
        <w:numPr>
          <w:ilvl w:val="4"/>
          <w:numId w:val="8"/>
        </w:numPr>
        <w:rPr>
          <w:rStyle w:val="normaltextrun"/>
          <w:szCs w:val="22"/>
        </w:rPr>
      </w:pPr>
      <w:r w:rsidRPr="001A60D6">
        <w:rPr>
          <w:rStyle w:val="normaltextrun"/>
          <w:szCs w:val="22"/>
        </w:rPr>
        <w:t>Stevens-Johnson syndrome (SJS) or toxic epidermal necrolysis (TEN), or SJS-TEN overlap to any therapeutic agent</w:t>
      </w:r>
    </w:p>
    <w:p w14:paraId="25FCDD9B" w14:textId="77777777" w:rsidR="00310AE4" w:rsidRPr="001A60D6" w:rsidRDefault="00310AE4" w:rsidP="00310AE4">
      <w:pPr>
        <w:pStyle w:val="BasicBulletList"/>
        <w:numPr>
          <w:ilvl w:val="4"/>
          <w:numId w:val="8"/>
        </w:numPr>
        <w:rPr>
          <w:rStyle w:val="normaltextrun"/>
          <w:szCs w:val="22"/>
        </w:rPr>
      </w:pPr>
      <w:r w:rsidRPr="001A60D6">
        <w:rPr>
          <w:rStyle w:val="normaltextrun"/>
          <w:szCs w:val="22"/>
        </w:rPr>
        <w:t>Cell therapy associated reaction</w:t>
      </w:r>
    </w:p>
    <w:p w14:paraId="766E9739" w14:textId="75D8908A" w:rsidR="00371BB0" w:rsidRPr="001A60D6" w:rsidRDefault="00310AE4" w:rsidP="00704B48">
      <w:pPr>
        <w:pStyle w:val="BasicBulletList"/>
        <w:numPr>
          <w:ilvl w:val="4"/>
          <w:numId w:val="8"/>
        </w:numPr>
        <w:rPr>
          <w:szCs w:val="22"/>
        </w:rPr>
      </w:pPr>
      <w:r w:rsidRPr="001A60D6">
        <w:rPr>
          <w:szCs w:val="22"/>
        </w:rPr>
        <w:t>Acute hepatitis associated with gene therapy in any age group</w:t>
      </w:r>
    </w:p>
    <w:p w14:paraId="2A413BF7" w14:textId="4FDF97B0" w:rsidR="007B44BB" w:rsidRPr="001A60D6" w:rsidRDefault="00577725" w:rsidP="001C0118">
      <w:pPr>
        <w:pStyle w:val="ListParagraph"/>
        <w:numPr>
          <w:ilvl w:val="2"/>
          <w:numId w:val="8"/>
        </w:numPr>
        <w:ind w:hanging="786"/>
        <w:jc w:val="both"/>
        <w:rPr>
          <w:rFonts w:ascii="Aptos" w:hAnsi="Aptos"/>
          <w:color w:val="000000" w:themeColor="text1"/>
          <w:sz w:val="22"/>
          <w:szCs w:val="22"/>
        </w:rPr>
      </w:pPr>
      <w:r w:rsidRPr="001A60D6">
        <w:rPr>
          <w:rFonts w:ascii="Aptos" w:hAnsi="Aptos"/>
          <w:color w:val="000000" w:themeColor="text1"/>
          <w:sz w:val="22"/>
          <w:szCs w:val="22"/>
        </w:rPr>
        <w:t>Confirmed or suspected presence of an emerging critical illness syndrome</w:t>
      </w:r>
      <w:r w:rsidR="00CD293D" w:rsidRPr="001A60D6">
        <w:rPr>
          <w:rFonts w:ascii="Aptos" w:hAnsi="Aptos"/>
          <w:color w:val="000000" w:themeColor="text1"/>
          <w:sz w:val="22"/>
          <w:szCs w:val="22"/>
        </w:rPr>
        <w:t xml:space="preserve"> such as:</w:t>
      </w:r>
      <w:r w:rsidRPr="001A60D6">
        <w:rPr>
          <w:rFonts w:ascii="Aptos" w:hAnsi="Aptos"/>
          <w:color w:val="000000" w:themeColor="text1"/>
          <w:sz w:val="22"/>
          <w:szCs w:val="22"/>
        </w:rPr>
        <w:t xml:space="preserve"> </w:t>
      </w:r>
    </w:p>
    <w:p w14:paraId="6B28152F" w14:textId="004ABEBE" w:rsidR="00FF2DC5" w:rsidRPr="001A60D6" w:rsidRDefault="00577725" w:rsidP="007E2090">
      <w:pPr>
        <w:pStyle w:val="ListParagraph"/>
        <w:numPr>
          <w:ilvl w:val="3"/>
          <w:numId w:val="8"/>
        </w:numPr>
        <w:ind w:left="2127" w:hanging="426"/>
        <w:rPr>
          <w:rFonts w:ascii="Aptos" w:hAnsi="Aptos"/>
          <w:color w:val="000000" w:themeColor="text1"/>
          <w:sz w:val="22"/>
          <w:szCs w:val="22"/>
        </w:rPr>
      </w:pPr>
      <w:r w:rsidRPr="001A60D6">
        <w:rPr>
          <w:rFonts w:ascii="Aptos" w:hAnsi="Aptos"/>
          <w:color w:val="000000" w:themeColor="text1"/>
          <w:sz w:val="22"/>
          <w:szCs w:val="22"/>
        </w:rPr>
        <w:t>unexplained or idiosyncratic presentations of acute organ injury</w:t>
      </w:r>
      <w:r w:rsidR="00FF3088" w:rsidRPr="001A60D6">
        <w:rPr>
          <w:rFonts w:ascii="Aptos" w:hAnsi="Aptos"/>
          <w:color w:val="000000" w:themeColor="text1"/>
          <w:sz w:val="22"/>
          <w:szCs w:val="22"/>
        </w:rPr>
        <w:t xml:space="preserve"> in the view</w:t>
      </w:r>
      <w:r w:rsidR="004378EA" w:rsidRPr="001A60D6">
        <w:rPr>
          <w:rFonts w:ascii="Aptos" w:hAnsi="Aptos"/>
          <w:color w:val="000000" w:themeColor="text1"/>
          <w:sz w:val="22"/>
          <w:szCs w:val="22"/>
        </w:rPr>
        <w:t xml:space="preserve"> of</w:t>
      </w:r>
      <w:r w:rsidR="007E2090">
        <w:rPr>
          <w:rFonts w:ascii="Aptos" w:hAnsi="Aptos"/>
          <w:color w:val="000000" w:themeColor="text1"/>
          <w:sz w:val="22"/>
          <w:szCs w:val="22"/>
        </w:rPr>
        <w:t xml:space="preserve"> </w:t>
      </w:r>
      <w:r w:rsidR="004378EA" w:rsidRPr="001A60D6">
        <w:rPr>
          <w:rFonts w:ascii="Aptos" w:hAnsi="Aptos"/>
          <w:color w:val="000000" w:themeColor="text1"/>
          <w:sz w:val="22"/>
          <w:szCs w:val="22"/>
        </w:rPr>
        <w:t>the</w:t>
      </w:r>
      <w:r w:rsidR="007E2090">
        <w:rPr>
          <w:rFonts w:ascii="Aptos" w:hAnsi="Aptos"/>
          <w:color w:val="000000" w:themeColor="text1"/>
          <w:sz w:val="22"/>
          <w:szCs w:val="22"/>
        </w:rPr>
        <w:t xml:space="preserve"> </w:t>
      </w:r>
      <w:r w:rsidR="004378EA" w:rsidRPr="001A60D6">
        <w:rPr>
          <w:rFonts w:ascii="Aptos" w:hAnsi="Aptos"/>
          <w:color w:val="000000" w:themeColor="text1"/>
          <w:sz w:val="22"/>
          <w:szCs w:val="22"/>
        </w:rPr>
        <w:t>treating clinician</w:t>
      </w:r>
    </w:p>
    <w:p w14:paraId="1A8F32E0" w14:textId="1FF9B5A0" w:rsidR="00B97208" w:rsidRPr="001A60D6" w:rsidRDefault="006A6D4E" w:rsidP="007E2090">
      <w:pPr>
        <w:pStyle w:val="ListParagraph"/>
        <w:numPr>
          <w:ilvl w:val="3"/>
          <w:numId w:val="9"/>
        </w:numPr>
        <w:ind w:left="2127" w:hanging="426"/>
        <w:rPr>
          <w:rFonts w:ascii="Aptos" w:hAnsi="Aptos"/>
          <w:color w:val="000000" w:themeColor="text1"/>
          <w:sz w:val="22"/>
          <w:szCs w:val="22"/>
        </w:rPr>
      </w:pPr>
      <w:r w:rsidRPr="001A60D6">
        <w:rPr>
          <w:rFonts w:ascii="Aptos" w:hAnsi="Aptos"/>
          <w:color w:val="000000" w:themeColor="text1"/>
          <w:sz w:val="22"/>
          <w:szCs w:val="22"/>
        </w:rPr>
        <w:t>c</w:t>
      </w:r>
      <w:r w:rsidR="00A82DBB" w:rsidRPr="001A60D6">
        <w:rPr>
          <w:rFonts w:ascii="Aptos" w:hAnsi="Aptos"/>
          <w:color w:val="000000" w:themeColor="text1"/>
          <w:sz w:val="22"/>
          <w:szCs w:val="22"/>
        </w:rPr>
        <w:t>onfirmed or suspected</w:t>
      </w:r>
      <w:r w:rsidR="006E0B31" w:rsidRPr="001A60D6">
        <w:rPr>
          <w:rFonts w:ascii="Aptos" w:hAnsi="Aptos"/>
          <w:color w:val="000000" w:themeColor="text1"/>
          <w:sz w:val="22"/>
          <w:szCs w:val="22"/>
        </w:rPr>
        <w:t xml:space="preserve"> exposures of public health interest</w:t>
      </w:r>
      <w:r w:rsidR="00811690" w:rsidRPr="001A60D6">
        <w:rPr>
          <w:rFonts w:ascii="Aptos" w:hAnsi="Aptos"/>
          <w:color w:val="000000" w:themeColor="text1"/>
          <w:sz w:val="22"/>
          <w:szCs w:val="22"/>
        </w:rPr>
        <w:t xml:space="preserve"> in the view of the study leadership</w:t>
      </w:r>
      <w:r w:rsidR="00844FA4" w:rsidRPr="001A60D6">
        <w:rPr>
          <w:rFonts w:ascii="Aptos" w:hAnsi="Aptos"/>
          <w:color w:val="000000" w:themeColor="text1"/>
          <w:sz w:val="22"/>
          <w:szCs w:val="22"/>
        </w:rPr>
        <w:t xml:space="preserve"> in consultation with public health agencies.</w:t>
      </w:r>
      <w:r w:rsidR="00D24DB1" w:rsidRPr="001A60D6">
        <w:rPr>
          <w:rFonts w:ascii="Aptos" w:hAnsi="Aptos"/>
          <w:color w:val="000000" w:themeColor="text1"/>
          <w:sz w:val="22"/>
          <w:szCs w:val="22"/>
        </w:rPr>
        <w:t xml:space="preserve"> An updated description </w:t>
      </w:r>
      <w:r w:rsidR="008D5445" w:rsidRPr="001A60D6">
        <w:rPr>
          <w:rFonts w:ascii="Aptos" w:hAnsi="Aptos"/>
          <w:color w:val="000000" w:themeColor="text1"/>
          <w:sz w:val="22"/>
          <w:szCs w:val="22"/>
        </w:rPr>
        <w:t>of these</w:t>
      </w:r>
      <w:r w:rsidR="00764C9A" w:rsidRPr="001A60D6">
        <w:rPr>
          <w:rFonts w:ascii="Aptos" w:hAnsi="Aptos"/>
          <w:color w:val="000000" w:themeColor="text1"/>
          <w:sz w:val="22"/>
          <w:szCs w:val="22"/>
        </w:rPr>
        <w:t xml:space="preserve"> syndromes will be</w:t>
      </w:r>
      <w:r w:rsidR="00717562" w:rsidRPr="001A60D6">
        <w:rPr>
          <w:rFonts w:ascii="Aptos" w:hAnsi="Aptos"/>
          <w:color w:val="000000" w:themeColor="text1"/>
          <w:sz w:val="22"/>
          <w:szCs w:val="22"/>
        </w:rPr>
        <w:t xml:space="preserve"> maintained</w:t>
      </w:r>
      <w:r w:rsidR="009E211E" w:rsidRPr="001A60D6">
        <w:rPr>
          <w:rFonts w:ascii="Aptos" w:hAnsi="Aptos"/>
          <w:color w:val="000000" w:themeColor="text1"/>
          <w:sz w:val="22"/>
          <w:szCs w:val="22"/>
        </w:rPr>
        <w:t xml:space="preserve"> by the central study team on the public website at </w:t>
      </w:r>
      <w:hyperlink r:id="rId19" w:history="1">
        <w:r w:rsidR="007E2090" w:rsidRPr="00A76069">
          <w:rPr>
            <w:rStyle w:val="Hyperlink"/>
            <w:rFonts w:ascii="Aptos" w:hAnsi="Aptos"/>
            <w:sz w:val="22"/>
            <w:szCs w:val="22"/>
          </w:rPr>
          <w:t>https://genomicc.org/investigators/emerging_syndromes</w:t>
        </w:r>
      </w:hyperlink>
      <w:r w:rsidR="00A82DBB" w:rsidRPr="001A60D6">
        <w:rPr>
          <w:rFonts w:ascii="Aptos" w:hAnsi="Aptos"/>
          <w:color w:val="000000" w:themeColor="text1"/>
          <w:sz w:val="22"/>
          <w:szCs w:val="22"/>
        </w:rPr>
        <w:t xml:space="preserve"> </w:t>
      </w:r>
    </w:p>
    <w:p w14:paraId="29517C65" w14:textId="51E60D99" w:rsidR="000E2061" w:rsidRPr="00CB5764" w:rsidRDefault="003A6DBF" w:rsidP="00CB5764">
      <w:pPr>
        <w:pStyle w:val="ListParagraph"/>
        <w:numPr>
          <w:ilvl w:val="0"/>
          <w:numId w:val="36"/>
        </w:numPr>
        <w:jc w:val="both"/>
        <w:rPr>
          <w:rStyle w:val="normaltextrun"/>
          <w:rFonts w:ascii="Aptos" w:hAnsi="Aptos"/>
          <w:color w:val="000000" w:themeColor="text1"/>
          <w:sz w:val="22"/>
          <w:szCs w:val="22"/>
        </w:rPr>
      </w:pPr>
      <w:r w:rsidRPr="001A60D6">
        <w:rPr>
          <w:rFonts w:ascii="Aptos" w:hAnsi="Aptos"/>
          <w:color w:val="000000" w:themeColor="text1"/>
          <w:sz w:val="22"/>
          <w:szCs w:val="22"/>
        </w:rPr>
        <w:t>Non-infectious critical illness syndromes in children</w:t>
      </w:r>
      <w:r w:rsidR="00695741" w:rsidRPr="001A60D6">
        <w:rPr>
          <w:rFonts w:ascii="Aptos" w:hAnsi="Aptos"/>
          <w:color w:val="000000" w:themeColor="text1"/>
          <w:sz w:val="22"/>
          <w:szCs w:val="22"/>
        </w:rPr>
        <w:t xml:space="preserve"> or babies:</w:t>
      </w:r>
    </w:p>
    <w:p w14:paraId="361E0A2E" w14:textId="62E15700" w:rsidR="000E2061" w:rsidRPr="001A60D6" w:rsidRDefault="000E2061" w:rsidP="00CA6DA3">
      <w:pPr>
        <w:pStyle w:val="BasicBulletList"/>
        <w:rPr>
          <w:szCs w:val="22"/>
        </w:rPr>
      </w:pPr>
      <w:r w:rsidRPr="001A60D6">
        <w:rPr>
          <w:szCs w:val="22"/>
        </w:rPr>
        <w:t>Acute seronegative or unexplained hepatitis in children: patients under the age of 16 with elevated liver transaminase (ALT &gt; 500 iU/L or AST &gt; 500 iU/L), not due to other diagnoses such as hepatitis viruses A-E, autoimmune hepatitis, or poisoning</w:t>
      </w:r>
    </w:p>
    <w:p w14:paraId="4B23AD90" w14:textId="77777777" w:rsidR="00595A11" w:rsidRPr="001A60D6" w:rsidRDefault="00595A11" w:rsidP="00CA6DA3">
      <w:pPr>
        <w:pStyle w:val="Heading4"/>
        <w:rPr>
          <w:rFonts w:ascii="Aptos" w:hAnsi="Aptos"/>
        </w:rPr>
      </w:pPr>
      <w:r w:rsidRPr="001A60D6">
        <w:rPr>
          <w:rFonts w:ascii="Aptos" w:hAnsi="Aptos"/>
        </w:rPr>
        <w:t xml:space="preserve">ORGAN SUPPORT </w:t>
      </w:r>
    </w:p>
    <w:p w14:paraId="32C648BA" w14:textId="77777777" w:rsidR="00595A11" w:rsidRPr="001A60D6" w:rsidRDefault="00595A11" w:rsidP="00595A11">
      <w:pPr>
        <w:jc w:val="both"/>
        <w:rPr>
          <w:rFonts w:ascii="Aptos" w:hAnsi="Aptos"/>
          <w:color w:val="000000" w:themeColor="text1"/>
          <w:sz w:val="22"/>
          <w:szCs w:val="22"/>
        </w:rPr>
      </w:pPr>
      <w:r w:rsidRPr="001A60D6">
        <w:rPr>
          <w:rFonts w:ascii="Aptos" w:hAnsi="Aptos"/>
          <w:color w:val="000000" w:themeColor="text1"/>
          <w:sz w:val="22"/>
          <w:szCs w:val="22"/>
        </w:rPr>
        <w:t xml:space="preserve">Examples of eligible organ support include, but are not limited to:  </w:t>
      </w:r>
    </w:p>
    <w:p w14:paraId="7BE0D21F" w14:textId="05F15B47" w:rsidR="00595A11" w:rsidRPr="001A60D6" w:rsidRDefault="00595A11" w:rsidP="00595A11">
      <w:pPr>
        <w:jc w:val="both"/>
        <w:rPr>
          <w:rFonts w:ascii="Aptos" w:hAnsi="Aptos"/>
          <w:color w:val="000000" w:themeColor="text1"/>
          <w:sz w:val="22"/>
          <w:szCs w:val="22"/>
        </w:rPr>
      </w:pPr>
      <w:r w:rsidRPr="001A60D6">
        <w:rPr>
          <w:rFonts w:ascii="Aptos" w:hAnsi="Aptos"/>
          <w:color w:val="000000" w:themeColor="text1"/>
          <w:sz w:val="22"/>
          <w:szCs w:val="22"/>
        </w:rPr>
        <w:t>•</w:t>
      </w:r>
      <w:r w:rsidRPr="001A60D6">
        <w:rPr>
          <w:rFonts w:ascii="Aptos" w:hAnsi="Aptos"/>
          <w:color w:val="000000" w:themeColor="text1"/>
          <w:sz w:val="22"/>
          <w:szCs w:val="22"/>
        </w:rPr>
        <w:tab/>
        <w:t>Respiratory: High flow nasal oxygen (HFNO), Continuous positive airway pressure (CPAP), Non-</w:t>
      </w:r>
      <w:r w:rsidR="007E2090">
        <w:rPr>
          <w:rFonts w:ascii="Aptos" w:hAnsi="Aptos"/>
          <w:color w:val="000000" w:themeColor="text1"/>
          <w:sz w:val="22"/>
          <w:szCs w:val="22"/>
        </w:rPr>
        <w:tab/>
      </w:r>
      <w:r w:rsidRPr="001A60D6">
        <w:rPr>
          <w:rFonts w:ascii="Aptos" w:hAnsi="Aptos"/>
          <w:color w:val="000000" w:themeColor="text1"/>
          <w:sz w:val="22"/>
          <w:szCs w:val="22"/>
        </w:rPr>
        <w:t xml:space="preserve">invasive ventilation (NIV), Invasive mechanical ventilation (including following intubation for </w:t>
      </w:r>
      <w:r w:rsidR="007E2090">
        <w:rPr>
          <w:rFonts w:ascii="Aptos" w:hAnsi="Aptos"/>
          <w:color w:val="000000" w:themeColor="text1"/>
          <w:sz w:val="22"/>
          <w:szCs w:val="22"/>
        </w:rPr>
        <w:tab/>
      </w:r>
      <w:r w:rsidRPr="001A60D6">
        <w:rPr>
          <w:rFonts w:ascii="Aptos" w:hAnsi="Aptos"/>
          <w:color w:val="000000" w:themeColor="text1"/>
          <w:sz w:val="22"/>
          <w:szCs w:val="22"/>
        </w:rPr>
        <w:t>airway protection)</w:t>
      </w:r>
    </w:p>
    <w:p w14:paraId="7AE9E532" w14:textId="17476A2B" w:rsidR="00595A11" w:rsidRPr="001A60D6" w:rsidRDefault="00595A11" w:rsidP="00595A11">
      <w:pPr>
        <w:jc w:val="both"/>
        <w:rPr>
          <w:rFonts w:ascii="Aptos" w:hAnsi="Aptos"/>
          <w:color w:val="000000" w:themeColor="text1"/>
          <w:sz w:val="22"/>
          <w:szCs w:val="22"/>
        </w:rPr>
      </w:pPr>
      <w:r w:rsidRPr="001A60D6">
        <w:rPr>
          <w:rFonts w:ascii="Aptos" w:hAnsi="Aptos"/>
          <w:color w:val="000000" w:themeColor="text1"/>
          <w:sz w:val="22"/>
          <w:szCs w:val="22"/>
        </w:rPr>
        <w:t>•</w:t>
      </w:r>
      <w:r w:rsidRPr="001A60D6">
        <w:rPr>
          <w:rFonts w:ascii="Aptos" w:hAnsi="Aptos"/>
          <w:color w:val="000000" w:themeColor="text1"/>
          <w:sz w:val="22"/>
          <w:szCs w:val="22"/>
        </w:rPr>
        <w:tab/>
        <w:t xml:space="preserve">Cardiovascular: any vasopressors or inotropes that are given by continuous infusion, </w:t>
      </w:r>
      <w:r w:rsidR="007E2090">
        <w:rPr>
          <w:rFonts w:ascii="Aptos" w:hAnsi="Aptos"/>
          <w:color w:val="000000" w:themeColor="text1"/>
          <w:sz w:val="22"/>
          <w:szCs w:val="22"/>
        </w:rPr>
        <w:tab/>
      </w:r>
      <w:r w:rsidRPr="001A60D6">
        <w:rPr>
          <w:rFonts w:ascii="Aptos" w:hAnsi="Aptos"/>
          <w:color w:val="000000" w:themeColor="text1"/>
          <w:sz w:val="22"/>
          <w:szCs w:val="22"/>
        </w:rPr>
        <w:t>extracorporeal membrane oxygenation (ECMO)</w:t>
      </w:r>
    </w:p>
    <w:p w14:paraId="65203017" w14:textId="29C0B004" w:rsidR="00695741" w:rsidRPr="001A60D6" w:rsidRDefault="00595A11" w:rsidP="00595A11">
      <w:pPr>
        <w:jc w:val="both"/>
        <w:rPr>
          <w:rFonts w:ascii="Aptos" w:hAnsi="Aptos"/>
          <w:color w:val="000000" w:themeColor="text1"/>
          <w:sz w:val="22"/>
          <w:szCs w:val="22"/>
        </w:rPr>
      </w:pPr>
      <w:r w:rsidRPr="001A60D6">
        <w:rPr>
          <w:rFonts w:ascii="Aptos" w:hAnsi="Aptos"/>
          <w:color w:val="000000" w:themeColor="text1"/>
          <w:sz w:val="22"/>
          <w:szCs w:val="22"/>
        </w:rPr>
        <w:t>•</w:t>
      </w:r>
      <w:r w:rsidRPr="001A60D6">
        <w:rPr>
          <w:rFonts w:ascii="Aptos" w:hAnsi="Aptos"/>
          <w:color w:val="000000" w:themeColor="text1"/>
          <w:sz w:val="22"/>
          <w:szCs w:val="22"/>
        </w:rPr>
        <w:tab/>
        <w:t xml:space="preserve">Renal: continuous or intermittent haemofiltration/dialysis/diafiltration where it is used to treat </w:t>
      </w:r>
      <w:r w:rsidR="007E2090">
        <w:rPr>
          <w:rFonts w:ascii="Aptos" w:hAnsi="Aptos"/>
          <w:color w:val="000000" w:themeColor="text1"/>
          <w:sz w:val="22"/>
          <w:szCs w:val="22"/>
        </w:rPr>
        <w:tab/>
      </w:r>
      <w:r w:rsidRPr="001A60D6">
        <w:rPr>
          <w:rFonts w:ascii="Aptos" w:hAnsi="Aptos"/>
          <w:color w:val="000000" w:themeColor="text1"/>
          <w:sz w:val="22"/>
          <w:szCs w:val="22"/>
        </w:rPr>
        <w:t>acute disease in a patient who is not normally in receipt of renal support</w:t>
      </w:r>
    </w:p>
    <w:p w14:paraId="410389C2" w14:textId="73E4EFBD" w:rsidR="00FF2DC5" w:rsidRPr="001A60D6" w:rsidRDefault="00577725">
      <w:pPr>
        <w:pStyle w:val="Heading3"/>
        <w:rPr>
          <w:rFonts w:ascii="Aptos" w:hAnsi="Aptos"/>
          <w:color w:val="000000" w:themeColor="text1"/>
        </w:rPr>
      </w:pPr>
      <w:bookmarkStart w:id="24" w:name="emerging-infections"/>
      <w:bookmarkStart w:id="25" w:name="_Toc188625294"/>
      <w:r w:rsidRPr="1B9F46DA">
        <w:rPr>
          <w:rFonts w:ascii="Aptos" w:hAnsi="Aptos"/>
          <w:color w:val="000000" w:themeColor="text1"/>
        </w:rPr>
        <w:t>Emerging Infections</w:t>
      </w:r>
      <w:bookmarkEnd w:id="24"/>
      <w:r w:rsidR="000F22E1" w:rsidRPr="1B9F46DA">
        <w:rPr>
          <w:rFonts w:ascii="Aptos" w:hAnsi="Aptos"/>
          <w:color w:val="000000" w:themeColor="text1"/>
        </w:rPr>
        <w:t xml:space="preserve"> AND </w:t>
      </w:r>
      <w:r w:rsidR="00321D16" w:rsidRPr="1B9F46DA">
        <w:rPr>
          <w:rFonts w:ascii="Aptos" w:hAnsi="Aptos"/>
          <w:color w:val="000000" w:themeColor="text1"/>
        </w:rPr>
        <w:t>EXPOSURES</w:t>
      </w:r>
      <w:bookmarkEnd w:id="25"/>
    </w:p>
    <w:p w14:paraId="3FC8BBA8" w14:textId="44D76D7E" w:rsidR="00FF2DC5" w:rsidRPr="001A60D6" w:rsidRDefault="00577725" w:rsidP="00C47159">
      <w:pPr>
        <w:pStyle w:val="FirstParagraph"/>
        <w:jc w:val="both"/>
        <w:rPr>
          <w:rFonts w:ascii="Aptos" w:hAnsi="Aptos"/>
          <w:color w:val="000000" w:themeColor="text1"/>
          <w:sz w:val="22"/>
          <w:szCs w:val="22"/>
        </w:rPr>
      </w:pPr>
      <w:r w:rsidRPr="001A60D6">
        <w:rPr>
          <w:rFonts w:ascii="Aptos" w:hAnsi="Aptos"/>
          <w:color w:val="000000" w:themeColor="text1"/>
          <w:sz w:val="22"/>
          <w:szCs w:val="22"/>
        </w:rPr>
        <w:t>Emerging infections are by their nature unpredictable and present a significant challenge to the international research community. In order to ensure research preparedness, in accordance with the principles laid out by the International Severe Acute and Emerging Infection Consortium (ISARIC</w:t>
      </w:r>
      <w:r w:rsidR="00433BA0" w:rsidRPr="001A60D6">
        <w:rPr>
          <w:rFonts w:ascii="Aptos" w:hAnsi="Aptos"/>
          <w:color w:val="000000" w:themeColor="text1"/>
          <w:sz w:val="22"/>
          <w:szCs w:val="22"/>
        </w:rPr>
        <w:t>) (</w:t>
      </w:r>
      <w:r w:rsidRPr="001A60D6">
        <w:rPr>
          <w:rFonts w:ascii="Aptos" w:hAnsi="Aptos"/>
          <w:color w:val="000000" w:themeColor="text1"/>
          <w:sz w:val="22"/>
          <w:szCs w:val="22"/>
        </w:rPr>
        <w:t>Dunning et al. 2014), patients will be recruited to this study if they have confirmed or suspected infection with a novel pathogen, a new strain of an existing pathogen, or a re-emerging known pathogen, that causes life-threatening illness. This will include the Middle East Respiratory Syndrome (MERS) and Severe Acute Respiratory</w:t>
      </w:r>
      <w:r w:rsidR="007E2090">
        <w:rPr>
          <w:rFonts w:ascii="Aptos" w:hAnsi="Aptos"/>
          <w:color w:val="000000" w:themeColor="text1"/>
          <w:sz w:val="22"/>
          <w:szCs w:val="22"/>
        </w:rPr>
        <w:t xml:space="preserve"> </w:t>
      </w:r>
      <w:r w:rsidRPr="001A60D6">
        <w:rPr>
          <w:rFonts w:ascii="Aptos" w:hAnsi="Aptos"/>
          <w:color w:val="000000" w:themeColor="text1"/>
          <w:sz w:val="22"/>
          <w:szCs w:val="22"/>
        </w:rPr>
        <w:t>Syndrome (SARS), highly pathogenic strains of influenza, Ebola virus disease and other epidemics of viral haemorrhagic fever</w:t>
      </w:r>
      <w:r w:rsidR="002E69D3" w:rsidRPr="001A60D6">
        <w:rPr>
          <w:rFonts w:ascii="Aptos" w:hAnsi="Aptos"/>
          <w:color w:val="000000" w:themeColor="text1"/>
          <w:sz w:val="22"/>
          <w:szCs w:val="22"/>
        </w:rPr>
        <w:t>,</w:t>
      </w:r>
      <w:r w:rsidR="002E69D3" w:rsidRPr="001A60D6">
        <w:rPr>
          <w:rFonts w:ascii="Aptos" w:hAnsi="Aptos"/>
          <w:sz w:val="22"/>
          <w:szCs w:val="22"/>
        </w:rPr>
        <w:t xml:space="preserve"> </w:t>
      </w:r>
      <w:r w:rsidR="002E69D3" w:rsidRPr="001A60D6">
        <w:rPr>
          <w:rFonts w:ascii="Aptos" w:hAnsi="Aptos"/>
          <w:color w:val="000000" w:themeColor="text1"/>
          <w:sz w:val="22"/>
          <w:szCs w:val="22"/>
        </w:rPr>
        <w:t>and exposure to chemical, radiological or other agents. All samples must be handled according to the relevant guidance from the Health and Safety Executive.</w:t>
      </w:r>
    </w:p>
    <w:p w14:paraId="12D3F041" w14:textId="77777777" w:rsidR="004D07F6" w:rsidRPr="001A60D6" w:rsidRDefault="00577725" w:rsidP="00863612">
      <w:pPr>
        <w:pStyle w:val="Heading3"/>
        <w:rPr>
          <w:rFonts w:ascii="Aptos" w:hAnsi="Aptos"/>
          <w:color w:val="000000" w:themeColor="text1"/>
        </w:rPr>
      </w:pPr>
      <w:bookmarkStart w:id="26" w:name="exclusion-criteria"/>
      <w:bookmarkStart w:id="27" w:name="_Toc188625295"/>
      <w:r w:rsidRPr="1B9F46DA">
        <w:rPr>
          <w:rFonts w:ascii="Aptos" w:hAnsi="Aptos"/>
          <w:color w:val="000000" w:themeColor="text1"/>
        </w:rPr>
        <w:t>Exclusion criteria</w:t>
      </w:r>
      <w:bookmarkEnd w:id="26"/>
      <w:bookmarkEnd w:id="27"/>
    </w:p>
    <w:p w14:paraId="7F0C0ED2" w14:textId="77777777" w:rsidR="007247C5" w:rsidRPr="001A60D6" w:rsidRDefault="007247C5" w:rsidP="007247C5">
      <w:pPr>
        <w:pStyle w:val="BodyText"/>
        <w:rPr>
          <w:rFonts w:ascii="Aptos" w:eastAsia="Georgia" w:hAnsi="Aptos" w:cs="Georgia"/>
          <w:color w:val="000000" w:themeColor="text1"/>
          <w:sz w:val="22"/>
          <w:szCs w:val="22"/>
        </w:rPr>
      </w:pPr>
      <w:r w:rsidRPr="001A60D6">
        <w:rPr>
          <w:rFonts w:ascii="Aptos" w:eastAsia="Georgia" w:hAnsi="Aptos" w:cs="Georgia"/>
          <w:color w:val="000000" w:themeColor="text1"/>
          <w:sz w:val="22"/>
          <w:szCs w:val="22"/>
        </w:rPr>
        <w:t xml:space="preserve">The following participants are not eligible for participation in any part of the GenOMICC study: </w:t>
      </w:r>
    </w:p>
    <w:p w14:paraId="0CA18102" w14:textId="77777777" w:rsidR="007247C5" w:rsidRPr="001A60D6" w:rsidRDefault="007247C5" w:rsidP="00CA6DA3">
      <w:pPr>
        <w:pStyle w:val="BodyText"/>
        <w:numPr>
          <w:ilvl w:val="0"/>
          <w:numId w:val="36"/>
        </w:numPr>
        <w:rPr>
          <w:rFonts w:ascii="Aptos" w:eastAsia="Georgia" w:hAnsi="Aptos" w:cs="Georgia"/>
          <w:color w:val="000000" w:themeColor="text1"/>
          <w:sz w:val="22"/>
          <w:szCs w:val="22"/>
        </w:rPr>
      </w:pPr>
      <w:r w:rsidRPr="001A60D6">
        <w:rPr>
          <w:rFonts w:ascii="Aptos" w:eastAsia="Georgia" w:hAnsi="Aptos" w:cs="Georgia"/>
          <w:color w:val="000000" w:themeColor="text1"/>
          <w:sz w:val="22"/>
          <w:szCs w:val="22"/>
        </w:rPr>
        <w:t>Bone marrow transplant recipients</w:t>
      </w:r>
    </w:p>
    <w:p w14:paraId="5B517180" w14:textId="77777777" w:rsidR="007247C5" w:rsidRPr="001A60D6" w:rsidRDefault="007247C5" w:rsidP="430AFFDD">
      <w:pPr>
        <w:pStyle w:val="BodyText"/>
        <w:rPr>
          <w:rFonts w:ascii="Aptos" w:eastAsia="Georgia" w:hAnsi="Aptos" w:cs="Georgia"/>
          <w:color w:val="000000" w:themeColor="text1"/>
          <w:sz w:val="22"/>
          <w:szCs w:val="22"/>
        </w:rPr>
      </w:pPr>
    </w:p>
    <w:p w14:paraId="771B809D" w14:textId="77777777" w:rsidR="00392A82" w:rsidRPr="001A60D6" w:rsidRDefault="00392A82" w:rsidP="00C47159">
      <w:pPr>
        <w:pStyle w:val="Heading3"/>
        <w:jc w:val="both"/>
        <w:rPr>
          <w:rFonts w:ascii="Aptos" w:hAnsi="Aptos"/>
        </w:rPr>
      </w:pPr>
      <w:bookmarkStart w:id="28" w:name="_Toc188625296"/>
      <w:r w:rsidRPr="1B9F46DA">
        <w:rPr>
          <w:rFonts w:ascii="Aptos" w:hAnsi="Aptos"/>
        </w:rPr>
        <w:t>NUMBER OF PARTICIPANTS</w:t>
      </w:r>
      <w:bookmarkEnd w:id="28"/>
    </w:p>
    <w:p w14:paraId="7521FA92" w14:textId="2B3C88FB" w:rsidR="00392A82" w:rsidRPr="001A60D6" w:rsidRDefault="00392A82" w:rsidP="00C47159">
      <w:pPr>
        <w:jc w:val="both"/>
        <w:rPr>
          <w:rFonts w:ascii="Aptos" w:hAnsi="Aptos"/>
          <w:sz w:val="22"/>
          <w:szCs w:val="22"/>
        </w:rPr>
      </w:pPr>
      <w:r w:rsidRPr="001A60D6">
        <w:rPr>
          <w:rFonts w:ascii="Aptos" w:hAnsi="Aptos"/>
          <w:sz w:val="22"/>
          <w:szCs w:val="22"/>
        </w:rPr>
        <w:t xml:space="preserve">The global </w:t>
      </w:r>
      <w:r w:rsidR="00804153" w:rsidRPr="001A60D6">
        <w:rPr>
          <w:rFonts w:ascii="Aptos" w:hAnsi="Aptos"/>
          <w:sz w:val="22"/>
          <w:szCs w:val="22"/>
        </w:rPr>
        <w:t>GenOMICC study</w:t>
      </w:r>
      <w:r w:rsidRPr="001A60D6">
        <w:rPr>
          <w:rFonts w:ascii="Aptos" w:hAnsi="Aptos"/>
          <w:sz w:val="22"/>
          <w:szCs w:val="22"/>
        </w:rPr>
        <w:t xml:space="preserve"> aims to ultimately recruit a total of </w:t>
      </w:r>
      <w:r w:rsidR="00EA572D" w:rsidRPr="001A60D6">
        <w:rPr>
          <w:rFonts w:ascii="Aptos" w:hAnsi="Aptos"/>
          <w:sz w:val="22"/>
          <w:szCs w:val="22"/>
        </w:rPr>
        <w:t>2</w:t>
      </w:r>
      <w:r w:rsidRPr="001A60D6">
        <w:rPr>
          <w:rFonts w:ascii="Aptos" w:hAnsi="Aptos"/>
          <w:sz w:val="22"/>
          <w:szCs w:val="22"/>
        </w:rPr>
        <w:t xml:space="preserve">00,000 </w:t>
      </w:r>
      <w:r w:rsidR="0061133F" w:rsidRPr="001A60D6">
        <w:rPr>
          <w:rFonts w:ascii="Aptos" w:hAnsi="Aptos"/>
          <w:sz w:val="22"/>
          <w:szCs w:val="22"/>
        </w:rPr>
        <w:t>cases</w:t>
      </w:r>
      <w:r w:rsidRPr="001A60D6">
        <w:rPr>
          <w:rFonts w:ascii="Aptos" w:hAnsi="Aptos"/>
          <w:sz w:val="22"/>
          <w:szCs w:val="22"/>
        </w:rPr>
        <w:t>, of whom around</w:t>
      </w:r>
      <w:r w:rsidR="005837DC" w:rsidRPr="001A60D6">
        <w:rPr>
          <w:rFonts w:ascii="Aptos" w:hAnsi="Aptos"/>
          <w:sz w:val="22"/>
          <w:szCs w:val="22"/>
        </w:rPr>
        <w:t xml:space="preserve"> </w:t>
      </w:r>
      <w:r w:rsidR="100FCD60" w:rsidRPr="001A60D6">
        <w:rPr>
          <w:rFonts w:ascii="Aptos" w:hAnsi="Aptos"/>
          <w:sz w:val="22"/>
          <w:szCs w:val="22"/>
          <w:highlight w:val="yellow"/>
        </w:rPr>
        <w:t>[</w:t>
      </w:r>
      <w:r w:rsidR="005837DC" w:rsidRPr="001A60D6">
        <w:rPr>
          <w:rFonts w:ascii="Aptos" w:hAnsi="Aptos"/>
          <w:sz w:val="22"/>
          <w:szCs w:val="22"/>
          <w:highlight w:val="yellow"/>
        </w:rPr>
        <w:t>xxx</w:t>
      </w:r>
      <w:r w:rsidR="00F805EA" w:rsidRPr="001A60D6">
        <w:rPr>
          <w:rFonts w:ascii="Aptos" w:hAnsi="Aptos"/>
          <w:sz w:val="22"/>
          <w:szCs w:val="22"/>
          <w:highlight w:val="yellow"/>
        </w:rPr>
        <w:t>]</w:t>
      </w:r>
      <w:r w:rsidR="00F805EA" w:rsidRPr="001A60D6">
        <w:rPr>
          <w:rFonts w:ascii="Aptos" w:hAnsi="Aptos"/>
          <w:sz w:val="22"/>
          <w:szCs w:val="22"/>
        </w:rPr>
        <w:t xml:space="preserve"> are</w:t>
      </w:r>
      <w:r w:rsidR="0061133F" w:rsidRPr="001A60D6">
        <w:rPr>
          <w:rFonts w:ascii="Aptos" w:hAnsi="Aptos"/>
          <w:sz w:val="22"/>
          <w:szCs w:val="22"/>
        </w:rPr>
        <w:t xml:space="preserve"> expected to</w:t>
      </w:r>
      <w:r w:rsidRPr="001A60D6">
        <w:rPr>
          <w:rFonts w:ascii="Aptos" w:hAnsi="Aptos"/>
          <w:sz w:val="22"/>
          <w:szCs w:val="22"/>
        </w:rPr>
        <w:t xml:space="preserve"> be recruited in </w:t>
      </w:r>
      <w:r w:rsidR="0D67D0DD" w:rsidRPr="001A60D6">
        <w:rPr>
          <w:rFonts w:ascii="Aptos" w:hAnsi="Aptos"/>
          <w:sz w:val="22"/>
          <w:szCs w:val="22"/>
          <w:highlight w:val="yellow"/>
        </w:rPr>
        <w:t>[Add location/centre name]</w:t>
      </w:r>
      <w:r w:rsidRPr="001A60D6">
        <w:rPr>
          <w:rFonts w:ascii="Aptos" w:hAnsi="Aptos"/>
          <w:sz w:val="22"/>
          <w:szCs w:val="22"/>
        </w:rPr>
        <w:t xml:space="preserve"> </w:t>
      </w:r>
    </w:p>
    <w:p w14:paraId="3396B6D7" w14:textId="77777777" w:rsidR="00FF2DC5" w:rsidRPr="001A60D6" w:rsidRDefault="00577725" w:rsidP="00312722">
      <w:pPr>
        <w:pStyle w:val="Heading3"/>
        <w:rPr>
          <w:rFonts w:ascii="Aptos" w:hAnsi="Aptos"/>
        </w:rPr>
      </w:pPr>
      <w:bookmarkStart w:id="29" w:name="Xe4596152276aeaff797d00ed05bfb87c5785550"/>
      <w:bookmarkStart w:id="30" w:name="_Toc188625297"/>
      <w:r w:rsidRPr="1B9F46DA">
        <w:rPr>
          <w:rFonts w:ascii="Aptos" w:hAnsi="Aptos"/>
        </w:rPr>
        <w:t>Modification of sampling and data collection during the study</w:t>
      </w:r>
      <w:bookmarkEnd w:id="29"/>
      <w:bookmarkEnd w:id="30"/>
    </w:p>
    <w:p w14:paraId="459CCEB9" w14:textId="77777777" w:rsidR="00EA12AE" w:rsidRPr="001A60D6" w:rsidRDefault="00EA12AE" w:rsidP="00CA6DA3">
      <w:pPr>
        <w:pStyle w:val="BodyText"/>
        <w:jc w:val="both"/>
        <w:rPr>
          <w:rFonts w:ascii="Aptos" w:hAnsi="Aptos"/>
          <w:sz w:val="22"/>
          <w:szCs w:val="22"/>
        </w:rPr>
      </w:pPr>
      <w:r w:rsidRPr="001A60D6">
        <w:rPr>
          <w:rFonts w:ascii="Aptos" w:hAnsi="Aptos"/>
          <w:sz w:val="22"/>
          <w:szCs w:val="22"/>
        </w:rPr>
        <w:t>As the study proceeds and our understanding of the genetic mechanisms of critical illness improves, the discovery yield from recruiting particular groups of patients is expected to decrease. We will update the inclusion criteria to remove these groups of patients as necessary, in order to focus resources on remaining unanswered research questions.</w:t>
      </w:r>
    </w:p>
    <w:p w14:paraId="37F4C92D" w14:textId="7E72ECD8" w:rsidR="00FF2DC5" w:rsidRPr="001A60D6" w:rsidRDefault="00577725">
      <w:pPr>
        <w:pStyle w:val="Heading3"/>
        <w:rPr>
          <w:rFonts w:ascii="Aptos" w:hAnsi="Aptos"/>
          <w:color w:val="000000" w:themeColor="text1"/>
        </w:rPr>
      </w:pPr>
      <w:bookmarkStart w:id="31" w:name="X11e038bcf6411aecc333e50788d548765596568"/>
      <w:bookmarkStart w:id="32" w:name="_Toc188625298"/>
      <w:r w:rsidRPr="1B9F46DA">
        <w:rPr>
          <w:rFonts w:ascii="Aptos" w:hAnsi="Aptos"/>
          <w:color w:val="000000" w:themeColor="text1"/>
        </w:rPr>
        <w:t xml:space="preserve">Standard of care for </w:t>
      </w:r>
      <w:r w:rsidR="00C47159" w:rsidRPr="1B9F46DA">
        <w:rPr>
          <w:rFonts w:ascii="Aptos" w:hAnsi="Aptos"/>
          <w:color w:val="000000" w:themeColor="text1"/>
        </w:rPr>
        <w:t>PROSPECTIVELY RECRUITED</w:t>
      </w:r>
      <w:r w:rsidRPr="1B9F46DA">
        <w:rPr>
          <w:rFonts w:ascii="Aptos" w:hAnsi="Aptos"/>
          <w:color w:val="000000" w:themeColor="text1"/>
        </w:rPr>
        <w:t xml:space="preserve"> patients</w:t>
      </w:r>
      <w:bookmarkEnd w:id="31"/>
      <w:bookmarkEnd w:id="32"/>
    </w:p>
    <w:p w14:paraId="44D69F6F" w14:textId="77777777" w:rsidR="00FF2DC5" w:rsidRPr="001A60D6" w:rsidRDefault="00577725" w:rsidP="00C47159">
      <w:pPr>
        <w:pStyle w:val="FirstParagraph"/>
        <w:jc w:val="both"/>
        <w:rPr>
          <w:rFonts w:ascii="Aptos" w:hAnsi="Aptos"/>
          <w:color w:val="000000" w:themeColor="text1"/>
          <w:sz w:val="22"/>
          <w:szCs w:val="22"/>
        </w:rPr>
      </w:pPr>
      <w:r w:rsidRPr="001A60D6">
        <w:rPr>
          <w:rFonts w:ascii="Aptos" w:hAnsi="Aptos"/>
          <w:color w:val="000000" w:themeColor="text1"/>
          <w:sz w:val="22"/>
          <w:szCs w:val="22"/>
        </w:rPr>
        <w:t>All patients will be treated according to clinical requirements regardless of their participation in the study. Provision of care will vary by site and by treating physician. It is not possible to define a single standard of care and therefore to define what samples will be taken as a part of medical management and when. Participants in this study will have samples taken in addition to what is required for medical management. The results of tests performed on research samples are unlikely to benefit the health of the participants.</w:t>
      </w:r>
    </w:p>
    <w:p w14:paraId="78AF483A" w14:textId="77777777" w:rsidR="00312722" w:rsidRPr="001A60D6" w:rsidRDefault="00312722" w:rsidP="00312722">
      <w:pPr>
        <w:pStyle w:val="Heading2"/>
        <w:rPr>
          <w:rFonts w:ascii="Aptos" w:hAnsi="Aptos"/>
        </w:rPr>
      </w:pPr>
      <w:bookmarkStart w:id="33" w:name="_Toc188625299"/>
      <w:r w:rsidRPr="1B9F46DA">
        <w:rPr>
          <w:rFonts w:ascii="Aptos" w:hAnsi="Aptos"/>
        </w:rPr>
        <w:t xml:space="preserve">Sampling </w:t>
      </w:r>
      <w:r w:rsidR="00674551" w:rsidRPr="1B9F46DA">
        <w:rPr>
          <w:rFonts w:ascii="Aptos" w:hAnsi="Aptos"/>
        </w:rPr>
        <w:t xml:space="preserve">and Data Collection </w:t>
      </w:r>
      <w:r w:rsidRPr="1B9F46DA">
        <w:rPr>
          <w:rFonts w:ascii="Aptos" w:hAnsi="Aptos"/>
        </w:rPr>
        <w:t>procedures</w:t>
      </w:r>
      <w:bookmarkEnd w:id="33"/>
    </w:p>
    <w:p w14:paraId="7772D047" w14:textId="77777777" w:rsidR="00FF2DC5" w:rsidRPr="001A60D6" w:rsidRDefault="00577725">
      <w:pPr>
        <w:pStyle w:val="Heading3"/>
        <w:rPr>
          <w:rFonts w:ascii="Aptos" w:hAnsi="Aptos"/>
          <w:color w:val="000000" w:themeColor="text1"/>
        </w:rPr>
      </w:pPr>
      <w:bookmarkStart w:id="34" w:name="sample-and-data-collection-schedules"/>
      <w:bookmarkStart w:id="35" w:name="_Toc188625300"/>
      <w:r w:rsidRPr="1B9F46DA">
        <w:rPr>
          <w:rFonts w:ascii="Aptos" w:hAnsi="Aptos"/>
          <w:color w:val="000000" w:themeColor="text1"/>
        </w:rPr>
        <w:t>Sample and Data Collection Schedules</w:t>
      </w:r>
      <w:bookmarkEnd w:id="34"/>
      <w:bookmarkEnd w:id="35"/>
    </w:p>
    <w:p w14:paraId="245FDB66" w14:textId="36848412" w:rsidR="00FF2DC5" w:rsidRPr="001A60D6" w:rsidRDefault="00577725" w:rsidP="00CA6DA3">
      <w:pPr>
        <w:pStyle w:val="FirstParagraph"/>
        <w:jc w:val="both"/>
        <w:rPr>
          <w:rFonts w:ascii="Aptos" w:hAnsi="Aptos"/>
          <w:color w:val="000000" w:themeColor="text1"/>
          <w:sz w:val="22"/>
          <w:szCs w:val="22"/>
        </w:rPr>
      </w:pPr>
      <w:r w:rsidRPr="001A60D6">
        <w:rPr>
          <w:rFonts w:ascii="Aptos" w:hAnsi="Aptos"/>
          <w:color w:val="000000" w:themeColor="text1"/>
          <w:sz w:val="22"/>
          <w:szCs w:val="22"/>
        </w:rPr>
        <w:t>A single DNA sample will be obtained at recruitment</w:t>
      </w:r>
      <w:r w:rsidR="00DE2F79" w:rsidRPr="001A60D6">
        <w:rPr>
          <w:rFonts w:ascii="Aptos" w:hAnsi="Aptos"/>
          <w:color w:val="000000" w:themeColor="text1"/>
          <w:sz w:val="22"/>
          <w:szCs w:val="22"/>
        </w:rPr>
        <w:t>.</w:t>
      </w:r>
    </w:p>
    <w:p w14:paraId="0C70A0AA" w14:textId="14CB749E" w:rsidR="00FF2DC5" w:rsidRPr="001A60D6" w:rsidRDefault="00577725" w:rsidP="00B33E08">
      <w:pPr>
        <w:pStyle w:val="FirstParagraph"/>
        <w:jc w:val="both"/>
        <w:rPr>
          <w:rFonts w:ascii="Aptos" w:hAnsi="Aptos"/>
          <w:color w:val="000000" w:themeColor="text1"/>
          <w:sz w:val="22"/>
          <w:szCs w:val="22"/>
        </w:rPr>
      </w:pPr>
      <w:r w:rsidRPr="001A60D6">
        <w:rPr>
          <w:rFonts w:ascii="Aptos" w:hAnsi="Aptos"/>
          <w:color w:val="000000" w:themeColor="text1"/>
          <w:sz w:val="22"/>
          <w:szCs w:val="22"/>
        </w:rPr>
        <w:t>All patients will have clinical information collected either directly or from available medical notes. Information will be recorded in the case report form. The following data will be collected from each patient:</w:t>
      </w:r>
    </w:p>
    <w:p w14:paraId="57D04D9B" w14:textId="5C458F36" w:rsidR="00FF2DC5" w:rsidRPr="001A60D6" w:rsidRDefault="00577725" w:rsidP="00B33E08">
      <w:pPr>
        <w:numPr>
          <w:ilvl w:val="0"/>
          <w:numId w:val="19"/>
        </w:numPr>
        <w:jc w:val="both"/>
        <w:rPr>
          <w:rFonts w:ascii="Aptos" w:hAnsi="Aptos"/>
          <w:color w:val="000000" w:themeColor="text1"/>
          <w:sz w:val="22"/>
          <w:szCs w:val="22"/>
        </w:rPr>
      </w:pPr>
      <w:r w:rsidRPr="001A60D6">
        <w:rPr>
          <w:rFonts w:ascii="Aptos" w:hAnsi="Aptos"/>
          <w:color w:val="000000" w:themeColor="text1"/>
          <w:sz w:val="22"/>
          <w:szCs w:val="22"/>
        </w:rPr>
        <w:t>at recruitment, an initial case report form will be completed</w:t>
      </w:r>
    </w:p>
    <w:p w14:paraId="6D3E27D2" w14:textId="109855AA" w:rsidR="00FF2DC5" w:rsidRPr="001A60D6" w:rsidRDefault="00577725" w:rsidP="00B33E08">
      <w:pPr>
        <w:numPr>
          <w:ilvl w:val="0"/>
          <w:numId w:val="19"/>
        </w:numPr>
        <w:jc w:val="both"/>
        <w:rPr>
          <w:rFonts w:ascii="Aptos" w:hAnsi="Aptos"/>
          <w:color w:val="000000" w:themeColor="text1"/>
          <w:sz w:val="22"/>
          <w:szCs w:val="22"/>
        </w:rPr>
      </w:pPr>
      <w:r w:rsidRPr="001A60D6">
        <w:rPr>
          <w:rFonts w:ascii="Aptos" w:hAnsi="Aptos"/>
          <w:color w:val="000000" w:themeColor="text1"/>
          <w:sz w:val="22"/>
          <w:szCs w:val="22"/>
        </w:rPr>
        <w:t>a supplemental case report form will be completed at least 3 days after the patient became eligible (this may be concurrent with recruitment in some cases)</w:t>
      </w:r>
    </w:p>
    <w:p w14:paraId="048A8E71" w14:textId="3F1B1008" w:rsidR="00FF2DC5" w:rsidRPr="001A60D6" w:rsidRDefault="00577725" w:rsidP="00B33E08">
      <w:pPr>
        <w:numPr>
          <w:ilvl w:val="0"/>
          <w:numId w:val="19"/>
        </w:numPr>
        <w:jc w:val="both"/>
        <w:rPr>
          <w:rFonts w:ascii="Aptos" w:hAnsi="Aptos"/>
          <w:color w:val="000000" w:themeColor="text1"/>
          <w:sz w:val="22"/>
          <w:szCs w:val="22"/>
        </w:rPr>
      </w:pPr>
      <w:r w:rsidRPr="001A60D6">
        <w:rPr>
          <w:rFonts w:ascii="Aptos" w:hAnsi="Aptos"/>
          <w:color w:val="000000" w:themeColor="text1"/>
          <w:sz w:val="22"/>
          <w:szCs w:val="22"/>
        </w:rPr>
        <w:t>at least 60 days after the patient became eligible, a follow-up case report form will be completed</w:t>
      </w:r>
      <w:r w:rsidR="00BD11F4" w:rsidRPr="001A60D6">
        <w:rPr>
          <w:rFonts w:ascii="Aptos" w:hAnsi="Aptos"/>
          <w:color w:val="000000" w:themeColor="text1"/>
          <w:sz w:val="22"/>
          <w:szCs w:val="22"/>
        </w:rPr>
        <w:t xml:space="preserve"> </w:t>
      </w:r>
      <w:r w:rsidR="00581FCE" w:rsidRPr="001A60D6">
        <w:rPr>
          <w:rFonts w:ascii="Aptos" w:hAnsi="Aptos"/>
          <w:color w:val="000000" w:themeColor="text1"/>
          <w:sz w:val="22"/>
          <w:szCs w:val="22"/>
        </w:rPr>
        <w:t>d</w:t>
      </w:r>
      <w:r w:rsidR="00BD11F4" w:rsidRPr="001A60D6">
        <w:rPr>
          <w:rFonts w:ascii="Aptos" w:hAnsi="Aptos"/>
          <w:color w:val="000000" w:themeColor="text1"/>
          <w:sz w:val="22"/>
          <w:szCs w:val="22"/>
        </w:rPr>
        <w:t>etailing the patient’s survival status</w:t>
      </w:r>
      <w:r w:rsidR="00DD3614" w:rsidRPr="001A60D6">
        <w:rPr>
          <w:rFonts w:ascii="Aptos" w:hAnsi="Aptos"/>
          <w:color w:val="000000" w:themeColor="text1"/>
          <w:sz w:val="22"/>
          <w:szCs w:val="22"/>
        </w:rPr>
        <w:t>.</w:t>
      </w:r>
    </w:p>
    <w:p w14:paraId="3B5ECA57" w14:textId="11DA6B71" w:rsidR="00FF3424" w:rsidRPr="001A60D6" w:rsidRDefault="00166C44" w:rsidP="00B33E08">
      <w:pPr>
        <w:jc w:val="both"/>
        <w:rPr>
          <w:rFonts w:ascii="Aptos" w:hAnsi="Aptos"/>
          <w:color w:val="000000" w:themeColor="text1"/>
          <w:sz w:val="22"/>
          <w:szCs w:val="22"/>
        </w:rPr>
      </w:pPr>
      <w:r w:rsidRPr="001A60D6">
        <w:rPr>
          <w:rFonts w:ascii="Aptos" w:hAnsi="Aptos"/>
          <w:color w:val="000000" w:themeColor="text1"/>
          <w:sz w:val="22"/>
          <w:szCs w:val="22"/>
        </w:rPr>
        <w:t>Control volunteers will self-co</w:t>
      </w:r>
      <w:r w:rsidR="00783F0C" w:rsidRPr="001A60D6">
        <w:rPr>
          <w:rFonts w:ascii="Aptos" w:hAnsi="Aptos"/>
          <w:color w:val="000000" w:themeColor="text1"/>
          <w:sz w:val="22"/>
          <w:szCs w:val="22"/>
        </w:rPr>
        <w:t>mplete a short case report form</w:t>
      </w:r>
      <w:r w:rsidR="00127806" w:rsidRPr="001A60D6">
        <w:rPr>
          <w:rFonts w:ascii="Aptos" w:hAnsi="Aptos"/>
          <w:color w:val="000000" w:themeColor="text1"/>
          <w:sz w:val="22"/>
          <w:szCs w:val="22"/>
        </w:rPr>
        <w:t>.</w:t>
      </w:r>
      <w:r w:rsidR="00B33E08" w:rsidRPr="001A60D6">
        <w:rPr>
          <w:rFonts w:ascii="Aptos" w:hAnsi="Aptos"/>
          <w:color w:val="000000" w:themeColor="text1"/>
          <w:sz w:val="22"/>
          <w:szCs w:val="22"/>
        </w:rPr>
        <w:t xml:space="preserve"> </w:t>
      </w:r>
    </w:p>
    <w:p w14:paraId="27207545" w14:textId="77777777" w:rsidR="00FF2DC5" w:rsidRPr="001A60D6" w:rsidRDefault="00577725" w:rsidP="00B33E08">
      <w:pPr>
        <w:pStyle w:val="Heading3"/>
        <w:jc w:val="both"/>
        <w:rPr>
          <w:rFonts w:ascii="Aptos" w:hAnsi="Aptos"/>
          <w:color w:val="000000" w:themeColor="text1"/>
        </w:rPr>
      </w:pPr>
      <w:bookmarkStart w:id="36" w:name="sample-volumes"/>
      <w:bookmarkStart w:id="37" w:name="_Toc188625301"/>
      <w:r w:rsidRPr="1B9F46DA">
        <w:rPr>
          <w:rFonts w:ascii="Aptos" w:hAnsi="Aptos"/>
          <w:color w:val="000000" w:themeColor="text1"/>
        </w:rPr>
        <w:t>Sample volumes</w:t>
      </w:r>
      <w:bookmarkEnd w:id="36"/>
      <w:bookmarkEnd w:id="37"/>
    </w:p>
    <w:p w14:paraId="5C98B32A" w14:textId="77777777" w:rsidR="00CD7887" w:rsidRPr="00CD7887" w:rsidRDefault="008020DA" w:rsidP="00CD7887">
      <w:pPr>
        <w:pStyle w:val="BodyText"/>
        <w:jc w:val="both"/>
        <w:rPr>
          <w:rFonts w:ascii="Aptos" w:hAnsi="Aptos"/>
          <w:sz w:val="22"/>
          <w:szCs w:val="22"/>
        </w:rPr>
      </w:pPr>
      <w:r w:rsidRPr="00CD7887">
        <w:rPr>
          <w:rFonts w:ascii="Aptos" w:hAnsi="Aptos"/>
          <w:sz w:val="22"/>
          <w:szCs w:val="22"/>
        </w:rPr>
        <w:t>A maximum of 1ml</w:t>
      </w:r>
      <w:r w:rsidR="00577725" w:rsidRPr="00CD7887">
        <w:rPr>
          <w:rFonts w:ascii="Aptos" w:hAnsi="Aptos"/>
          <w:sz w:val="22"/>
          <w:szCs w:val="22"/>
        </w:rPr>
        <w:t>/kg (</w:t>
      </w:r>
      <m:oMath>
        <m:r>
          <w:rPr>
            <w:rFonts w:ascii="Cambria Math" w:hAnsi="Cambria Math"/>
            <w:sz w:val="22"/>
            <w:szCs w:val="22"/>
          </w:rPr>
          <m:t>&gt;1%</m:t>
        </m:r>
      </m:oMath>
      <w:r w:rsidR="00577725" w:rsidRPr="00CD7887">
        <w:rPr>
          <w:rFonts w:ascii="Aptos" w:hAnsi="Aptos"/>
          <w:sz w:val="22"/>
          <w:szCs w:val="22"/>
        </w:rPr>
        <w:t xml:space="preserve"> estimated blood volume)</w:t>
      </w:r>
      <w:r w:rsidR="0033562C" w:rsidRPr="00CD7887">
        <w:rPr>
          <w:rFonts w:ascii="Aptos" w:hAnsi="Aptos"/>
          <w:sz w:val="22"/>
          <w:szCs w:val="22"/>
        </w:rPr>
        <w:t xml:space="preserve"> will be obtained</w:t>
      </w:r>
      <w:r w:rsidR="00135468" w:rsidRPr="00CD7887">
        <w:rPr>
          <w:rFonts w:ascii="Aptos" w:hAnsi="Aptos"/>
          <w:sz w:val="22"/>
          <w:szCs w:val="22"/>
        </w:rPr>
        <w:t xml:space="preserve"> during a single sample</w:t>
      </w:r>
      <w:r w:rsidR="00577725" w:rsidRPr="00CD7887">
        <w:rPr>
          <w:rFonts w:ascii="Aptos" w:hAnsi="Aptos"/>
          <w:sz w:val="22"/>
          <w:szCs w:val="22"/>
        </w:rPr>
        <w:t xml:space="preserve"> during acute illness. </w:t>
      </w:r>
    </w:p>
    <w:p w14:paraId="693CAC28" w14:textId="29708485" w:rsidR="00092094" w:rsidRPr="001A60D6" w:rsidRDefault="00AA0BC0" w:rsidP="00092094">
      <w:pPr>
        <w:pStyle w:val="Heading4"/>
        <w:rPr>
          <w:rFonts w:ascii="Aptos" w:hAnsi="Aptos"/>
        </w:rPr>
      </w:pPr>
      <w:r w:rsidRPr="001A60D6">
        <w:rPr>
          <w:rFonts w:ascii="Aptos" w:hAnsi="Aptos"/>
        </w:rPr>
        <w:t>GENOMICC DNA ANALYSIS</w:t>
      </w:r>
    </w:p>
    <w:p w14:paraId="7B3AE34D" w14:textId="49878501" w:rsidR="00092094" w:rsidRPr="001A60D6" w:rsidRDefault="00005D8E" w:rsidP="00092094">
      <w:pPr>
        <w:rPr>
          <w:rFonts w:ascii="Aptos" w:hAnsi="Aptos"/>
          <w:sz w:val="22"/>
          <w:szCs w:val="22"/>
        </w:rPr>
      </w:pPr>
      <w:r w:rsidRPr="001A60D6">
        <w:rPr>
          <w:rFonts w:ascii="Aptos" w:hAnsi="Aptos"/>
          <w:sz w:val="22"/>
          <w:szCs w:val="22"/>
        </w:rPr>
        <w:t>On</w:t>
      </w:r>
      <w:r w:rsidR="00943144">
        <w:rPr>
          <w:rFonts w:ascii="Aptos" w:hAnsi="Aptos"/>
          <w:sz w:val="22"/>
          <w:szCs w:val="22"/>
        </w:rPr>
        <w:t>e</w:t>
      </w:r>
      <w:r w:rsidRPr="001A60D6">
        <w:rPr>
          <w:rFonts w:ascii="Aptos" w:hAnsi="Aptos"/>
          <w:sz w:val="22"/>
          <w:szCs w:val="22"/>
        </w:rPr>
        <w:t xml:space="preserve"> of the following sample types should be obtained</w:t>
      </w:r>
      <w:r w:rsidR="0012020B" w:rsidRPr="001A60D6">
        <w:rPr>
          <w:rFonts w:ascii="Aptos" w:hAnsi="Aptos"/>
          <w:sz w:val="22"/>
          <w:szCs w:val="22"/>
        </w:rPr>
        <w:t>:</w:t>
      </w:r>
    </w:p>
    <w:p w14:paraId="43774409" w14:textId="66074B21" w:rsidR="00743FF9" w:rsidRDefault="009003FA" w:rsidP="00010E68">
      <w:pPr>
        <w:pStyle w:val="ListParagraph"/>
        <w:numPr>
          <w:ilvl w:val="0"/>
          <w:numId w:val="38"/>
        </w:numPr>
        <w:rPr>
          <w:rFonts w:ascii="Aptos" w:hAnsi="Aptos"/>
          <w:sz w:val="22"/>
          <w:szCs w:val="22"/>
        </w:rPr>
      </w:pPr>
      <w:r w:rsidRPr="001A60D6">
        <w:rPr>
          <w:rFonts w:ascii="Aptos" w:hAnsi="Aptos"/>
          <w:sz w:val="22"/>
          <w:szCs w:val="22"/>
        </w:rPr>
        <w:t>Whole blood in EDTA (full blood count</w:t>
      </w:r>
      <w:r w:rsidR="00010E68" w:rsidRPr="001A60D6">
        <w:rPr>
          <w:rFonts w:ascii="Aptos" w:hAnsi="Aptos"/>
          <w:sz w:val="22"/>
          <w:szCs w:val="22"/>
        </w:rPr>
        <w:t xml:space="preserve"> tube) -preferred option in all cases:</w:t>
      </w:r>
    </w:p>
    <w:p w14:paraId="6897EAE2" w14:textId="77777777" w:rsidR="00CD7887" w:rsidRPr="003279FA" w:rsidRDefault="00CD7887" w:rsidP="00CD7887">
      <w:pPr>
        <w:pStyle w:val="BasicBulletList"/>
        <w:numPr>
          <w:ilvl w:val="1"/>
          <w:numId w:val="39"/>
        </w:numPr>
      </w:pPr>
      <w:r>
        <w:t>&gt;10kg: 4mls (0.4ml/kg)</w:t>
      </w:r>
    </w:p>
    <w:p w14:paraId="271AC389" w14:textId="77777777" w:rsidR="00CD7887" w:rsidRPr="003279FA" w:rsidRDefault="00CD7887" w:rsidP="00CD7887">
      <w:pPr>
        <w:pStyle w:val="BasicBulletList"/>
        <w:numPr>
          <w:ilvl w:val="1"/>
          <w:numId w:val="39"/>
        </w:numPr>
      </w:pPr>
      <w:r>
        <w:t>4–10kg: 2mls (0.5ml/kg)</w:t>
      </w:r>
    </w:p>
    <w:p w14:paraId="48CC13AB" w14:textId="77777777" w:rsidR="00CD7887" w:rsidRDefault="00CD7887" w:rsidP="00CD7887">
      <w:pPr>
        <w:pStyle w:val="BasicBulletList"/>
        <w:numPr>
          <w:ilvl w:val="1"/>
          <w:numId w:val="39"/>
        </w:numPr>
      </w:pPr>
      <w:r>
        <w:t>0.5-4kg: 0.5mls (1ml/kg)</w:t>
      </w:r>
    </w:p>
    <w:p w14:paraId="69C4B9BE" w14:textId="77777777" w:rsidR="005E0F88" w:rsidRPr="001A60D6" w:rsidRDefault="005E0F88" w:rsidP="005E0F88">
      <w:pPr>
        <w:numPr>
          <w:ilvl w:val="0"/>
          <w:numId w:val="39"/>
        </w:numPr>
        <w:jc w:val="both"/>
        <w:rPr>
          <w:rFonts w:ascii="Aptos" w:hAnsi="Aptos"/>
          <w:color w:val="000000" w:themeColor="text1"/>
          <w:sz w:val="22"/>
          <w:szCs w:val="22"/>
        </w:rPr>
      </w:pPr>
      <w:r w:rsidRPr="001A60D6">
        <w:rPr>
          <w:rFonts w:ascii="Aptos" w:hAnsi="Aptos"/>
          <w:color w:val="000000" w:themeColor="text1"/>
          <w:sz w:val="22"/>
          <w:szCs w:val="22"/>
        </w:rPr>
        <w:t xml:space="preserve">Dried blood spots: </w:t>
      </w:r>
    </w:p>
    <w:p w14:paraId="3B16B079" w14:textId="77777777" w:rsidR="005E0F88" w:rsidRPr="001A60D6" w:rsidRDefault="005E0F88" w:rsidP="005E0F88">
      <w:pPr>
        <w:numPr>
          <w:ilvl w:val="0"/>
          <w:numId w:val="40"/>
        </w:numPr>
        <w:jc w:val="both"/>
        <w:rPr>
          <w:rFonts w:ascii="Aptos" w:hAnsi="Aptos"/>
          <w:color w:val="000000" w:themeColor="text1"/>
          <w:sz w:val="22"/>
          <w:szCs w:val="22"/>
        </w:rPr>
      </w:pPr>
      <w:r w:rsidRPr="001A60D6">
        <w:rPr>
          <w:rFonts w:ascii="Aptos" w:hAnsi="Aptos"/>
          <w:color w:val="000000" w:themeColor="text1"/>
          <w:sz w:val="22"/>
          <w:szCs w:val="22"/>
        </w:rPr>
        <w:t>&gt;0.5kg: 4 spots (0.5ml, 1ml/kg)</w:t>
      </w:r>
    </w:p>
    <w:p w14:paraId="707CF4DC" w14:textId="77777777" w:rsidR="005E0F88" w:rsidRPr="001A60D6" w:rsidRDefault="005E0F88" w:rsidP="005E0F88">
      <w:pPr>
        <w:numPr>
          <w:ilvl w:val="0"/>
          <w:numId w:val="39"/>
        </w:numPr>
        <w:jc w:val="both"/>
        <w:rPr>
          <w:rFonts w:ascii="Aptos" w:hAnsi="Aptos"/>
          <w:color w:val="000000" w:themeColor="text1"/>
          <w:sz w:val="22"/>
          <w:szCs w:val="22"/>
        </w:rPr>
      </w:pPr>
      <w:r w:rsidRPr="001A60D6">
        <w:rPr>
          <w:rFonts w:ascii="Aptos" w:hAnsi="Aptos"/>
          <w:color w:val="000000" w:themeColor="text1"/>
          <w:sz w:val="22"/>
          <w:szCs w:val="22"/>
        </w:rPr>
        <w:t>Saliva:</w:t>
      </w:r>
    </w:p>
    <w:p w14:paraId="04CA9323" w14:textId="77777777" w:rsidR="005E0F88" w:rsidRPr="001A60D6" w:rsidRDefault="005E0F88" w:rsidP="005E0F88">
      <w:pPr>
        <w:numPr>
          <w:ilvl w:val="1"/>
          <w:numId w:val="39"/>
        </w:numPr>
        <w:jc w:val="both"/>
        <w:rPr>
          <w:rFonts w:ascii="Aptos" w:hAnsi="Aptos"/>
          <w:color w:val="000000" w:themeColor="text1"/>
          <w:sz w:val="22"/>
          <w:szCs w:val="22"/>
        </w:rPr>
      </w:pPr>
      <w:r w:rsidRPr="001A60D6">
        <w:rPr>
          <w:rFonts w:ascii="Aptos" w:hAnsi="Aptos"/>
          <w:color w:val="000000" w:themeColor="text1"/>
          <w:sz w:val="22"/>
          <w:szCs w:val="22"/>
        </w:rPr>
        <w:t>Using saliva collection kit or assisted saliva collection kit as necessary</w:t>
      </w:r>
    </w:p>
    <w:p w14:paraId="3E435335" w14:textId="5B23D3E3" w:rsidR="00607D3C" w:rsidRPr="001A60D6" w:rsidRDefault="00607D3C" w:rsidP="00B33E08">
      <w:pPr>
        <w:pStyle w:val="Heading3"/>
        <w:jc w:val="both"/>
        <w:rPr>
          <w:rFonts w:ascii="Aptos" w:hAnsi="Aptos"/>
          <w:color w:val="000000" w:themeColor="text1"/>
        </w:rPr>
      </w:pPr>
      <w:bookmarkStart w:id="38" w:name="_Toc188625302"/>
      <w:r w:rsidRPr="1B9F46DA">
        <w:rPr>
          <w:rFonts w:ascii="Aptos" w:hAnsi="Aptos"/>
          <w:color w:val="000000" w:themeColor="text1"/>
        </w:rPr>
        <w:t xml:space="preserve">SAMPLING PROCEDURES FOR </w:t>
      </w:r>
      <w:r w:rsidR="00D03AE1" w:rsidRPr="1B9F46DA">
        <w:rPr>
          <w:rFonts w:ascii="Aptos" w:hAnsi="Aptos"/>
          <w:color w:val="000000" w:themeColor="text1"/>
          <w:highlight w:val="yellow"/>
        </w:rPr>
        <w:t>POPULATION MATCHED</w:t>
      </w:r>
      <w:r w:rsidR="00D03AE1" w:rsidRPr="1B9F46DA">
        <w:rPr>
          <w:rFonts w:ascii="Aptos" w:hAnsi="Aptos"/>
          <w:color w:val="000000" w:themeColor="text1"/>
        </w:rPr>
        <w:t xml:space="preserve"> CONTROLS</w:t>
      </w:r>
      <w:bookmarkEnd w:id="38"/>
    </w:p>
    <w:p w14:paraId="37DBE53E" w14:textId="71C918C9" w:rsidR="00607D3C" w:rsidRPr="001A60D6" w:rsidRDefault="00607D3C" w:rsidP="00C824CC">
      <w:pPr>
        <w:pStyle w:val="BodyText"/>
        <w:jc w:val="both"/>
        <w:rPr>
          <w:rFonts w:ascii="Aptos" w:hAnsi="Aptos"/>
          <w:color w:val="000000" w:themeColor="text1"/>
          <w:sz w:val="22"/>
          <w:szCs w:val="22"/>
        </w:rPr>
      </w:pPr>
      <w:r w:rsidRPr="001A60D6">
        <w:rPr>
          <w:rFonts w:ascii="Aptos" w:hAnsi="Aptos"/>
          <w:color w:val="000000" w:themeColor="text1"/>
          <w:sz w:val="22"/>
          <w:szCs w:val="22"/>
        </w:rPr>
        <w:t>Patients or control volunteers who agree to participate will be invited to</w:t>
      </w:r>
      <w:r w:rsidR="00585B48" w:rsidRPr="001A60D6">
        <w:rPr>
          <w:rFonts w:ascii="Aptos" w:hAnsi="Aptos"/>
          <w:color w:val="000000" w:themeColor="text1"/>
          <w:sz w:val="22"/>
          <w:szCs w:val="22"/>
        </w:rPr>
        <w:t xml:space="preserve"> </w:t>
      </w:r>
      <w:r w:rsidR="00C824CC" w:rsidRPr="001A60D6">
        <w:rPr>
          <w:rFonts w:ascii="Aptos" w:hAnsi="Aptos"/>
          <w:color w:val="000000" w:themeColor="text1"/>
          <w:sz w:val="22"/>
          <w:szCs w:val="22"/>
        </w:rPr>
        <w:t xml:space="preserve">[Please insert your local method of sampling </w:t>
      </w:r>
      <w:r w:rsidR="00C824CC" w:rsidRPr="1B9F46DA">
        <w:rPr>
          <w:rFonts w:ascii="Aptos" w:hAnsi="Aptos"/>
          <w:color w:val="000000" w:themeColor="text1"/>
          <w:sz w:val="22"/>
          <w:szCs w:val="22"/>
          <w:highlight w:val="yellow"/>
        </w:rPr>
        <w:t>population matched controls</w:t>
      </w:r>
      <w:r w:rsidR="00C824CC" w:rsidRPr="001A60D6">
        <w:rPr>
          <w:rFonts w:ascii="Aptos" w:hAnsi="Aptos"/>
          <w:color w:val="000000" w:themeColor="text1"/>
          <w:sz w:val="22"/>
          <w:szCs w:val="22"/>
        </w:rPr>
        <w:t>]</w:t>
      </w:r>
      <w:r w:rsidR="00C824CC" w:rsidRPr="001A60D6">
        <w:rPr>
          <w:rFonts w:ascii="Aptos" w:hAnsi="Aptos"/>
          <w:color w:val="000000" w:themeColor="text1"/>
          <w:sz w:val="22"/>
          <w:szCs w:val="22"/>
        </w:rPr>
        <w:annotationRef/>
      </w:r>
      <w:r w:rsidR="00D25C52" w:rsidRPr="001A60D6">
        <w:rPr>
          <w:rFonts w:ascii="Aptos" w:hAnsi="Aptos"/>
          <w:color w:val="000000" w:themeColor="text1"/>
          <w:sz w:val="22"/>
          <w:szCs w:val="22"/>
        </w:rPr>
        <w:t>, either</w:t>
      </w:r>
      <w:r w:rsidRPr="001A60D6">
        <w:rPr>
          <w:rFonts w:ascii="Aptos" w:hAnsi="Aptos"/>
          <w:color w:val="000000" w:themeColor="text1"/>
          <w:sz w:val="22"/>
          <w:szCs w:val="22"/>
        </w:rPr>
        <w:t>:</w:t>
      </w:r>
    </w:p>
    <w:p w14:paraId="09F65A89" w14:textId="07FCA07C" w:rsidR="00607D3C" w:rsidRPr="001A60D6" w:rsidRDefault="00607D3C" w:rsidP="00CA6DA3">
      <w:pPr>
        <w:pStyle w:val="BodyText"/>
        <w:numPr>
          <w:ilvl w:val="0"/>
          <w:numId w:val="42"/>
        </w:numPr>
        <w:jc w:val="both"/>
        <w:rPr>
          <w:rFonts w:ascii="Aptos" w:hAnsi="Aptos"/>
          <w:color w:val="000000" w:themeColor="text1"/>
          <w:sz w:val="22"/>
          <w:szCs w:val="22"/>
          <w:highlight w:val="yellow"/>
        </w:rPr>
      </w:pPr>
      <w:r w:rsidRPr="001A60D6">
        <w:rPr>
          <w:rFonts w:ascii="Aptos" w:hAnsi="Aptos"/>
          <w:color w:val="000000" w:themeColor="text1"/>
          <w:sz w:val="22"/>
          <w:szCs w:val="22"/>
          <w:highlight w:val="yellow"/>
        </w:rPr>
        <w:t>Attend a hospital, research facility or a primary care facility for a blood sample</w:t>
      </w:r>
    </w:p>
    <w:p w14:paraId="4AFBF988" w14:textId="7B9688AA" w:rsidR="00607D3C" w:rsidRPr="001A60D6" w:rsidRDefault="00607D3C" w:rsidP="00CA6DA3">
      <w:pPr>
        <w:pStyle w:val="BodyText"/>
        <w:numPr>
          <w:ilvl w:val="0"/>
          <w:numId w:val="42"/>
        </w:numPr>
        <w:jc w:val="both"/>
        <w:rPr>
          <w:rFonts w:ascii="Aptos" w:hAnsi="Aptos"/>
          <w:color w:val="000000" w:themeColor="text1"/>
          <w:sz w:val="22"/>
          <w:szCs w:val="22"/>
          <w:highlight w:val="yellow"/>
        </w:rPr>
      </w:pPr>
      <w:r w:rsidRPr="001A60D6">
        <w:rPr>
          <w:rFonts w:ascii="Aptos" w:hAnsi="Aptos"/>
          <w:color w:val="000000" w:themeColor="text1"/>
          <w:sz w:val="22"/>
          <w:szCs w:val="22"/>
          <w:highlight w:val="yellow"/>
        </w:rPr>
        <w:t xml:space="preserve">Receive a home visit from an </w:t>
      </w:r>
      <w:r w:rsidR="00B33E08" w:rsidRPr="001A60D6">
        <w:rPr>
          <w:rFonts w:ascii="Aptos" w:hAnsi="Aptos"/>
          <w:color w:val="000000" w:themeColor="text1"/>
          <w:sz w:val="22"/>
          <w:szCs w:val="22"/>
          <w:highlight w:val="yellow"/>
        </w:rPr>
        <w:t>appropriately trained</w:t>
      </w:r>
      <w:r w:rsidRPr="001A60D6">
        <w:rPr>
          <w:rFonts w:ascii="Aptos" w:hAnsi="Aptos"/>
          <w:color w:val="000000" w:themeColor="text1"/>
          <w:sz w:val="22"/>
          <w:szCs w:val="22"/>
          <w:highlight w:val="yellow"/>
        </w:rPr>
        <w:t xml:space="preserve"> research nurse who will obtain a blood sample; or</w:t>
      </w:r>
    </w:p>
    <w:p w14:paraId="13C84CEF" w14:textId="43AD1713" w:rsidR="003A7A7F" w:rsidRPr="001A60D6" w:rsidRDefault="00607D3C" w:rsidP="00CA6DA3">
      <w:pPr>
        <w:pStyle w:val="BodyText"/>
        <w:numPr>
          <w:ilvl w:val="0"/>
          <w:numId w:val="42"/>
        </w:numPr>
        <w:jc w:val="both"/>
        <w:rPr>
          <w:rFonts w:ascii="Aptos" w:hAnsi="Aptos"/>
          <w:sz w:val="22"/>
          <w:szCs w:val="22"/>
          <w:highlight w:val="yellow"/>
        </w:rPr>
      </w:pPr>
      <w:r w:rsidRPr="001A60D6">
        <w:rPr>
          <w:rFonts w:ascii="Aptos" w:hAnsi="Aptos"/>
          <w:color w:val="000000" w:themeColor="text1"/>
          <w:sz w:val="22"/>
          <w:szCs w:val="22"/>
          <w:highlight w:val="yellow"/>
        </w:rPr>
        <w:t>Send a specimen of saliva by po</w:t>
      </w:r>
      <w:r w:rsidRPr="001A60D6">
        <w:rPr>
          <w:rFonts w:ascii="Aptos" w:hAnsi="Aptos"/>
          <w:color w:val="000000" w:themeColor="text1"/>
          <w:sz w:val="22"/>
          <w:szCs w:val="22"/>
          <w:highlight w:val="yellow"/>
          <w:u w:val="double"/>
        </w:rPr>
        <w:t>st</w:t>
      </w:r>
    </w:p>
    <w:p w14:paraId="15E62C69" w14:textId="77777777" w:rsidR="00FF2DC5" w:rsidRPr="001A60D6" w:rsidRDefault="00577725">
      <w:pPr>
        <w:pStyle w:val="Heading3"/>
        <w:rPr>
          <w:rFonts w:ascii="Aptos" w:hAnsi="Aptos"/>
          <w:color w:val="000000" w:themeColor="text1"/>
          <w:u w:val="double"/>
        </w:rPr>
      </w:pPr>
      <w:bookmarkStart w:id="39" w:name="sample-handling"/>
      <w:bookmarkStart w:id="40" w:name="_Toc188625303"/>
      <w:r w:rsidRPr="1B9F46DA">
        <w:rPr>
          <w:rFonts w:ascii="Aptos" w:hAnsi="Aptos"/>
          <w:color w:val="000000" w:themeColor="text1"/>
          <w:u w:val="double"/>
        </w:rPr>
        <w:t>Sample handling</w:t>
      </w:r>
      <w:bookmarkEnd w:id="39"/>
      <w:bookmarkEnd w:id="40"/>
    </w:p>
    <w:p w14:paraId="22DF50A6" w14:textId="4BAA3A70" w:rsidR="00FF2DC5" w:rsidRPr="001A60D6" w:rsidRDefault="00577725" w:rsidP="00B33E08">
      <w:pPr>
        <w:pStyle w:val="BodyText"/>
        <w:jc w:val="both"/>
        <w:rPr>
          <w:rFonts w:ascii="Aptos" w:hAnsi="Aptos"/>
          <w:color w:val="000000" w:themeColor="text1"/>
          <w:sz w:val="22"/>
          <w:szCs w:val="22"/>
        </w:rPr>
      </w:pPr>
      <w:r w:rsidRPr="001A60D6">
        <w:rPr>
          <w:rFonts w:ascii="Aptos" w:hAnsi="Aptos"/>
          <w:color w:val="000000" w:themeColor="text1"/>
          <w:sz w:val="22"/>
          <w:szCs w:val="22"/>
        </w:rPr>
        <w:t xml:space="preserve">Where necessary for specific tests, samples or materials derived from </w:t>
      </w:r>
      <w:r w:rsidR="000911DC" w:rsidRPr="001A60D6">
        <w:rPr>
          <w:rFonts w:ascii="Aptos" w:hAnsi="Aptos"/>
          <w:color w:val="000000" w:themeColor="text1"/>
          <w:sz w:val="22"/>
          <w:szCs w:val="22"/>
        </w:rPr>
        <w:t>samples may</w:t>
      </w:r>
      <w:r w:rsidRPr="001A60D6">
        <w:rPr>
          <w:rFonts w:ascii="Aptos" w:hAnsi="Aptos"/>
          <w:color w:val="000000" w:themeColor="text1"/>
          <w:sz w:val="22"/>
          <w:szCs w:val="22"/>
        </w:rPr>
        <w:t xml:space="preserve"> </w:t>
      </w:r>
      <w:r w:rsidR="000911DC" w:rsidRPr="001A60D6">
        <w:rPr>
          <w:rFonts w:ascii="Aptos" w:hAnsi="Aptos"/>
          <w:color w:val="000000" w:themeColor="text1"/>
          <w:sz w:val="22"/>
          <w:szCs w:val="22"/>
        </w:rPr>
        <w:t>be sent</w:t>
      </w:r>
      <w:r w:rsidR="00F909CA" w:rsidRPr="001A60D6">
        <w:rPr>
          <w:rFonts w:ascii="Aptos" w:hAnsi="Aptos"/>
          <w:color w:val="000000" w:themeColor="text1"/>
          <w:sz w:val="22"/>
          <w:szCs w:val="22"/>
        </w:rPr>
        <w:t xml:space="preserve"> abroad</w:t>
      </w:r>
      <w:r w:rsidRPr="001A60D6">
        <w:rPr>
          <w:rFonts w:ascii="Aptos" w:hAnsi="Aptos"/>
          <w:color w:val="000000" w:themeColor="text1"/>
          <w:sz w:val="22"/>
          <w:szCs w:val="22"/>
        </w:rPr>
        <w:t xml:space="preserve"> with the permission of the patient/parent/guardian/</w:t>
      </w:r>
      <w:r w:rsidR="00DE2F0A" w:rsidRPr="001A60D6">
        <w:rPr>
          <w:rFonts w:ascii="Aptos" w:hAnsi="Aptos"/>
          <w:color w:val="000000" w:themeColor="text1"/>
          <w:sz w:val="22"/>
          <w:szCs w:val="22"/>
        </w:rPr>
        <w:t>nearest</w:t>
      </w:r>
      <w:r w:rsidR="6041C79A" w:rsidRPr="001A60D6">
        <w:rPr>
          <w:rFonts w:ascii="Aptos" w:hAnsi="Aptos"/>
          <w:color w:val="000000" w:themeColor="text1"/>
          <w:sz w:val="22"/>
          <w:szCs w:val="22"/>
        </w:rPr>
        <w:t xml:space="preserve"> </w:t>
      </w:r>
      <w:r w:rsidR="005837DC" w:rsidRPr="001A60D6">
        <w:rPr>
          <w:rFonts w:ascii="Aptos" w:hAnsi="Aptos"/>
          <w:color w:val="000000" w:themeColor="text1"/>
          <w:sz w:val="22"/>
          <w:szCs w:val="22"/>
        </w:rPr>
        <w:t>relative/</w:t>
      </w:r>
      <w:r w:rsidRPr="001A60D6">
        <w:rPr>
          <w:rFonts w:ascii="Aptos" w:hAnsi="Aptos"/>
          <w:color w:val="000000" w:themeColor="text1"/>
          <w:sz w:val="22"/>
          <w:szCs w:val="22"/>
        </w:rPr>
        <w:t xml:space="preserve">consultee. Any samples sent to external laboratories will be </w:t>
      </w:r>
      <w:r w:rsidR="005764CF" w:rsidRPr="001A60D6">
        <w:rPr>
          <w:rFonts w:ascii="Aptos" w:hAnsi="Aptos"/>
          <w:color w:val="000000" w:themeColor="text1"/>
          <w:sz w:val="22"/>
          <w:szCs w:val="22"/>
        </w:rPr>
        <w:t>pseudonymised</w:t>
      </w:r>
      <w:r w:rsidRPr="001A60D6">
        <w:rPr>
          <w:rFonts w:ascii="Aptos" w:hAnsi="Aptos"/>
          <w:color w:val="000000" w:themeColor="text1"/>
          <w:sz w:val="22"/>
          <w:szCs w:val="22"/>
        </w:rPr>
        <w:t xml:space="preserve"> with unique coded identifiers to protect the identity of the patient at the site level at the point of enrolment. </w:t>
      </w:r>
    </w:p>
    <w:p w14:paraId="20979ACC" w14:textId="43553DB9" w:rsidR="00407355" w:rsidRPr="001A60D6" w:rsidRDefault="00407355" w:rsidP="00407355">
      <w:pPr>
        <w:pStyle w:val="BodyText"/>
        <w:rPr>
          <w:rFonts w:ascii="Aptos" w:hAnsi="Aptos"/>
          <w:color w:val="000000" w:themeColor="text1"/>
          <w:sz w:val="22"/>
          <w:szCs w:val="22"/>
        </w:rPr>
      </w:pPr>
      <w:r w:rsidRPr="1B9F46DA">
        <w:rPr>
          <w:rFonts w:ascii="Aptos" w:hAnsi="Aptos"/>
          <w:color w:val="000000" w:themeColor="text1"/>
          <w:sz w:val="22"/>
          <w:szCs w:val="22"/>
        </w:rPr>
        <w:t xml:space="preserve">There is no sample processing required by site research staff or community health care professionals. All samples in the GenOMICC are stable at ambient temperature for several days. They should be posted back in the approved specimen kits supplied by GenOMICC as soon as possible after sampling. </w:t>
      </w:r>
    </w:p>
    <w:p w14:paraId="6C25B8FC" w14:textId="77777777" w:rsidR="00FF2DC5" w:rsidRPr="001A60D6" w:rsidRDefault="00577725">
      <w:pPr>
        <w:pStyle w:val="Heading3"/>
        <w:rPr>
          <w:rFonts w:ascii="Aptos" w:hAnsi="Aptos"/>
          <w:color w:val="000000" w:themeColor="text1"/>
        </w:rPr>
      </w:pPr>
      <w:bookmarkStart w:id="41" w:name="potentially-hazardous-samples"/>
      <w:bookmarkStart w:id="42" w:name="_Toc188625304"/>
      <w:r w:rsidRPr="1B9F46DA">
        <w:rPr>
          <w:rFonts w:ascii="Aptos" w:hAnsi="Aptos"/>
          <w:color w:val="000000" w:themeColor="text1"/>
        </w:rPr>
        <w:t>Potentially hazardous samples</w:t>
      </w:r>
      <w:bookmarkEnd w:id="41"/>
      <w:bookmarkEnd w:id="42"/>
    </w:p>
    <w:p w14:paraId="4652ED17" w14:textId="1D5CA3BF" w:rsidR="006D6E4D" w:rsidRPr="001A60D6" w:rsidRDefault="006D6E4D" w:rsidP="00CD7887">
      <w:pPr>
        <w:pStyle w:val="FirstParagraph"/>
        <w:jc w:val="both"/>
        <w:rPr>
          <w:rFonts w:ascii="Aptos" w:hAnsi="Aptos"/>
          <w:b/>
          <w:bCs/>
          <w:color w:val="000000" w:themeColor="text1"/>
          <w:sz w:val="22"/>
          <w:szCs w:val="22"/>
        </w:rPr>
      </w:pPr>
      <w:r w:rsidRPr="1B9F46DA">
        <w:rPr>
          <w:rFonts w:ascii="Aptos" w:hAnsi="Aptos"/>
          <w:b/>
          <w:bCs/>
          <w:color w:val="000000" w:themeColor="text1"/>
          <w:sz w:val="22"/>
          <w:szCs w:val="22"/>
        </w:rPr>
        <w:t xml:space="preserve">If samples are obtained from patients with potentially hazardous pathogens, the </w:t>
      </w:r>
      <w:r w:rsidRPr="00CD7887">
        <w:rPr>
          <w:rFonts w:ascii="Aptos" w:hAnsi="Aptos"/>
          <w:b/>
          <w:bCs/>
          <w:color w:val="000000" w:themeColor="text1"/>
          <w:sz w:val="22"/>
          <w:szCs w:val="22"/>
        </w:rPr>
        <w:t>GenOMICC team (</w:t>
      </w:r>
      <w:bookmarkStart w:id="43" w:name="_Hlk188622467"/>
      <w:r w:rsidR="2CACE197" w:rsidRPr="00CD7887">
        <w:rPr>
          <w:rFonts w:ascii="Aptos" w:hAnsi="Aptos"/>
          <w:b/>
          <w:bCs/>
          <w:color w:val="000000" w:themeColor="text1"/>
          <w:sz w:val="22"/>
          <w:szCs w:val="22"/>
        </w:rPr>
        <w:t>GenOMICC-International</w:t>
      </w:r>
      <w:bookmarkEnd w:id="43"/>
      <w:r w:rsidRPr="00CD7887">
        <w:rPr>
          <w:rFonts w:ascii="Aptos" w:hAnsi="Aptos"/>
          <w:b/>
          <w:bCs/>
          <w:color w:val="000000" w:themeColor="text1"/>
          <w:sz w:val="22"/>
          <w:szCs w:val="22"/>
        </w:rPr>
        <w:t>@roslin.ed.ac.uk)</w:t>
      </w:r>
      <w:r w:rsidRPr="1B9F46DA">
        <w:rPr>
          <w:rFonts w:ascii="Aptos" w:hAnsi="Aptos"/>
          <w:b/>
          <w:bCs/>
          <w:color w:val="000000" w:themeColor="text1"/>
          <w:sz w:val="22"/>
          <w:szCs w:val="22"/>
        </w:rPr>
        <w:t xml:space="preserve"> should be contacted for advice on how and where to send them. </w:t>
      </w:r>
    </w:p>
    <w:p w14:paraId="54D11801" w14:textId="66D1EEC7" w:rsidR="006D6E4D" w:rsidRPr="001A60D6" w:rsidRDefault="006D6E4D" w:rsidP="00CD7887">
      <w:pPr>
        <w:pStyle w:val="FirstParagraph"/>
        <w:jc w:val="both"/>
        <w:rPr>
          <w:rFonts w:ascii="Aptos" w:hAnsi="Aptos"/>
          <w:color w:val="000000" w:themeColor="text1"/>
          <w:sz w:val="22"/>
          <w:szCs w:val="22"/>
        </w:rPr>
      </w:pPr>
      <w:r w:rsidRPr="001A60D6">
        <w:rPr>
          <w:rFonts w:ascii="Aptos" w:hAnsi="Aptos"/>
          <w:color w:val="000000" w:themeColor="text1"/>
          <w:sz w:val="22"/>
          <w:szCs w:val="22"/>
        </w:rPr>
        <w:t xml:space="preserve">Examples of potentially hazardous (HG 3/4, see below) pathogens include, but are not limited to: Dengue virus, Mpox virus, highly pathogenic avian influenza virus (eg H5Nx, H7N7, H7N9), Marburg virus, Ebolavirus, Lassa fever virus, Crimean-Congo Haemorrhagic Fever orthonairovirus, Hendra henipavirus, Nipah henipavirus, Variola virus (major and minor), Bacillus anthracis, Coxiella burnetti, Rickettsia spp, Yersinia pestis, West Nile fever virus, Yellow fever virus, Rift Valley fever virus. A list of hazard group 3 and 4 pathogens can be found on the </w:t>
      </w:r>
      <w:r w:rsidRPr="00CD7887">
        <w:rPr>
          <w:rFonts w:ascii="Aptos" w:hAnsi="Aptos"/>
          <w:color w:val="000000" w:themeColor="text1"/>
          <w:sz w:val="22"/>
          <w:szCs w:val="22"/>
        </w:rPr>
        <w:t>UK Health and Safety Executive Advisory Committee on Dangerous Pathogens (ACDP) approved list of biological agents (</w:t>
      </w:r>
      <w:hyperlink r:id="rId20" w:history="1">
        <w:r w:rsidRPr="00CD7887">
          <w:rPr>
            <w:rStyle w:val="Hyperlink"/>
            <w:rFonts w:ascii="Aptos" w:hAnsi="Aptos"/>
            <w:sz w:val="22"/>
            <w:szCs w:val="22"/>
          </w:rPr>
          <w:t>https://www.hse.gov.uk</w:t>
        </w:r>
      </w:hyperlink>
      <w:r w:rsidRPr="00CD7887">
        <w:rPr>
          <w:rFonts w:ascii="Aptos" w:hAnsi="Aptos"/>
          <w:color w:val="000000" w:themeColor="text1"/>
          <w:sz w:val="22"/>
          <w:szCs w:val="22"/>
        </w:rPr>
        <w:t>).</w:t>
      </w:r>
    </w:p>
    <w:p w14:paraId="7E367CBA" w14:textId="68D2A6F7" w:rsidR="00FF2DC5" w:rsidRPr="001A60D6" w:rsidRDefault="00577725" w:rsidP="00CD7887">
      <w:pPr>
        <w:pStyle w:val="FirstParagraph"/>
        <w:jc w:val="both"/>
        <w:rPr>
          <w:rFonts w:ascii="Aptos" w:hAnsi="Aptos"/>
          <w:color w:val="000000" w:themeColor="text1"/>
          <w:sz w:val="22"/>
          <w:szCs w:val="22"/>
        </w:rPr>
      </w:pPr>
      <w:r w:rsidRPr="1B9F46DA">
        <w:rPr>
          <w:rFonts w:ascii="Aptos" w:hAnsi="Aptos"/>
          <w:color w:val="000000" w:themeColor="text1"/>
          <w:sz w:val="22"/>
          <w:szCs w:val="22"/>
        </w:rPr>
        <w:t xml:space="preserve">In dealing with pathogens where little is known about transmissibility and/or virulence, great care must </w:t>
      </w:r>
      <w:r w:rsidR="5F6FEB51" w:rsidRPr="1B9F46DA">
        <w:rPr>
          <w:rFonts w:ascii="Aptos" w:hAnsi="Aptos"/>
          <w:color w:val="000000" w:themeColor="text1"/>
          <w:sz w:val="22"/>
          <w:szCs w:val="22"/>
        </w:rPr>
        <w:t>be taken</w:t>
      </w:r>
      <w:r w:rsidR="00372220" w:rsidRPr="1B9F46DA">
        <w:rPr>
          <w:rFonts w:ascii="Aptos" w:hAnsi="Aptos"/>
          <w:color w:val="000000" w:themeColor="text1"/>
          <w:sz w:val="22"/>
          <w:szCs w:val="22"/>
        </w:rPr>
        <w:t xml:space="preserve"> </w:t>
      </w:r>
      <w:r w:rsidRPr="1B9F46DA">
        <w:rPr>
          <w:rFonts w:ascii="Aptos" w:hAnsi="Aptos"/>
          <w:color w:val="000000" w:themeColor="text1"/>
          <w:sz w:val="22"/>
          <w:szCs w:val="22"/>
        </w:rPr>
        <w:t xml:space="preserve">to ensure the safety of hospital staff and patients. </w:t>
      </w:r>
      <w:r w:rsidR="005949BE" w:rsidRPr="1B9F46DA">
        <w:rPr>
          <w:rFonts w:ascii="Aptos" w:hAnsi="Aptos"/>
          <w:color w:val="000000" w:themeColor="text1"/>
          <w:sz w:val="22"/>
          <w:szCs w:val="22"/>
        </w:rPr>
        <w:t xml:space="preserve"> All recruiting sites must comply with their </w:t>
      </w:r>
      <w:r w:rsidR="00695871" w:rsidRPr="1B9F46DA">
        <w:rPr>
          <w:rFonts w:ascii="Aptos" w:hAnsi="Aptos"/>
          <w:color w:val="000000" w:themeColor="text1"/>
          <w:sz w:val="22"/>
          <w:szCs w:val="22"/>
        </w:rPr>
        <w:t>local COSHH (Control of Substances Hazardou</w:t>
      </w:r>
      <w:r w:rsidR="00B26694" w:rsidRPr="1B9F46DA">
        <w:rPr>
          <w:rFonts w:ascii="Aptos" w:hAnsi="Aptos"/>
          <w:color w:val="000000" w:themeColor="text1"/>
          <w:sz w:val="22"/>
          <w:szCs w:val="22"/>
        </w:rPr>
        <w:t>s to Health) and Health and Safety guidelines when collecting samples</w:t>
      </w:r>
      <w:r w:rsidR="00930C98" w:rsidRPr="1B9F46DA">
        <w:rPr>
          <w:rFonts w:ascii="Aptos" w:hAnsi="Aptos"/>
          <w:color w:val="000000" w:themeColor="text1"/>
          <w:sz w:val="22"/>
          <w:szCs w:val="22"/>
        </w:rPr>
        <w:t>. The receiving study laboratory</w:t>
      </w:r>
      <w:r w:rsidR="00480899" w:rsidRPr="1B9F46DA">
        <w:rPr>
          <w:rFonts w:ascii="Aptos" w:hAnsi="Aptos"/>
          <w:color w:val="000000" w:themeColor="text1"/>
          <w:sz w:val="22"/>
          <w:szCs w:val="22"/>
        </w:rPr>
        <w:t>, a containment level 2 laboratory (CL2)</w:t>
      </w:r>
      <w:r w:rsidR="00382666" w:rsidRPr="1B9F46DA">
        <w:rPr>
          <w:rFonts w:ascii="Aptos" w:hAnsi="Aptos"/>
          <w:color w:val="000000" w:themeColor="text1"/>
          <w:sz w:val="22"/>
          <w:szCs w:val="22"/>
        </w:rPr>
        <w:t xml:space="preserve"> laboratory can</w:t>
      </w:r>
      <w:r w:rsidR="006214AD" w:rsidRPr="1B9F46DA">
        <w:rPr>
          <w:rFonts w:ascii="Aptos" w:hAnsi="Aptos"/>
          <w:color w:val="000000" w:themeColor="text1"/>
          <w:sz w:val="22"/>
          <w:szCs w:val="22"/>
        </w:rPr>
        <w:t xml:space="preserve"> can only receive samples classified by the Health &amp; Safety Executive as Hazard Group 1 (HG1) and Hazard Group 2 (HG2) samples. SARS-CoV-2, while a Hazard Group 3 pathogen (HG3) can be received, as it has a special exemption in the UK for the safe handling in CL2 laboratories and are permitted with the appropriate risk assessments and safety measures in place.</w:t>
      </w:r>
    </w:p>
    <w:p w14:paraId="350A25C7" w14:textId="77777777" w:rsidR="00FF2DC5" w:rsidRPr="001A60D6" w:rsidRDefault="00577725">
      <w:pPr>
        <w:pStyle w:val="Heading3"/>
        <w:rPr>
          <w:rFonts w:ascii="Aptos" w:hAnsi="Aptos"/>
          <w:color w:val="000000" w:themeColor="text1"/>
        </w:rPr>
      </w:pPr>
      <w:bookmarkStart w:id="44" w:name="follow-up"/>
      <w:bookmarkStart w:id="45" w:name="_Toc188625305"/>
      <w:r w:rsidRPr="1B9F46DA">
        <w:rPr>
          <w:rFonts w:ascii="Aptos" w:hAnsi="Aptos"/>
          <w:color w:val="000000" w:themeColor="text1"/>
        </w:rPr>
        <w:t>Follow up</w:t>
      </w:r>
      <w:bookmarkEnd w:id="44"/>
      <w:bookmarkEnd w:id="45"/>
    </w:p>
    <w:p w14:paraId="61581A22" w14:textId="77777777" w:rsidR="00FF2DC5" w:rsidRPr="001A60D6" w:rsidRDefault="00577725">
      <w:pPr>
        <w:pStyle w:val="FirstParagraph"/>
        <w:rPr>
          <w:rFonts w:ascii="Aptos" w:hAnsi="Aptos"/>
          <w:color w:val="000000" w:themeColor="text1"/>
          <w:sz w:val="22"/>
          <w:szCs w:val="22"/>
        </w:rPr>
      </w:pPr>
      <w:r w:rsidRPr="001A60D6">
        <w:rPr>
          <w:rFonts w:ascii="Aptos" w:hAnsi="Aptos"/>
          <w:color w:val="000000" w:themeColor="text1"/>
          <w:sz w:val="22"/>
          <w:szCs w:val="22"/>
        </w:rPr>
        <w:t>Prospectively-recruited patients will be followed up by a member of the research team to determine their outcome. For hospital in-patients, this will be done by review of clinical records, or communication with clinical staff, or the patient. For patients discharged from hospital, follow-up will be undertaken by telephone.</w:t>
      </w:r>
    </w:p>
    <w:p w14:paraId="0BEF7833" w14:textId="77777777" w:rsidR="00FF2DC5" w:rsidRPr="001A60D6" w:rsidRDefault="00577725">
      <w:pPr>
        <w:pStyle w:val="Heading3"/>
        <w:rPr>
          <w:rFonts w:ascii="Aptos" w:hAnsi="Aptos"/>
          <w:color w:val="000000" w:themeColor="text1"/>
        </w:rPr>
      </w:pPr>
      <w:bookmarkStart w:id="46" w:name="outcome-measures"/>
      <w:bookmarkStart w:id="47" w:name="_Toc188625306"/>
      <w:r w:rsidRPr="1B9F46DA">
        <w:rPr>
          <w:rFonts w:ascii="Aptos" w:hAnsi="Aptos"/>
          <w:color w:val="000000" w:themeColor="text1"/>
        </w:rPr>
        <w:t>Outcome measures</w:t>
      </w:r>
      <w:bookmarkEnd w:id="46"/>
      <w:bookmarkEnd w:id="47"/>
    </w:p>
    <w:p w14:paraId="7CE2FAF0" w14:textId="77777777" w:rsidR="00FF2DC5" w:rsidRPr="001A60D6" w:rsidRDefault="00577725">
      <w:pPr>
        <w:pStyle w:val="FirstParagraph"/>
        <w:rPr>
          <w:rFonts w:ascii="Aptos" w:hAnsi="Aptos"/>
          <w:color w:val="000000" w:themeColor="text1"/>
          <w:sz w:val="22"/>
          <w:szCs w:val="22"/>
        </w:rPr>
      </w:pPr>
      <w:r w:rsidRPr="001A60D6">
        <w:rPr>
          <w:rFonts w:ascii="Aptos" w:hAnsi="Aptos"/>
          <w:color w:val="000000" w:themeColor="text1"/>
          <w:sz w:val="22"/>
          <w:szCs w:val="22"/>
        </w:rPr>
        <w:t>The outcome of mortality will be measured at 60 days from the first time the patient met the medical criteria for inclusion in the study.</w:t>
      </w:r>
    </w:p>
    <w:p w14:paraId="2AC1D528" w14:textId="77777777" w:rsidR="00F73D80" w:rsidRPr="001A60D6" w:rsidRDefault="00CA2282" w:rsidP="00CA2282">
      <w:pPr>
        <w:pStyle w:val="Heading2"/>
        <w:rPr>
          <w:rFonts w:ascii="Aptos" w:hAnsi="Aptos"/>
        </w:rPr>
      </w:pPr>
      <w:bookmarkStart w:id="48" w:name="_Toc188625307"/>
      <w:r w:rsidRPr="1B9F46DA">
        <w:rPr>
          <w:rFonts w:ascii="Aptos" w:hAnsi="Aptos"/>
        </w:rPr>
        <w:t>Enrolment Procedures</w:t>
      </w:r>
      <w:bookmarkEnd w:id="48"/>
    </w:p>
    <w:p w14:paraId="691B1EB2" w14:textId="7D92349B" w:rsidR="00F73D80" w:rsidRPr="001A60D6" w:rsidRDefault="00F73D80" w:rsidP="00F73D80">
      <w:pPr>
        <w:pStyle w:val="Heading3"/>
        <w:rPr>
          <w:rFonts w:ascii="Aptos" w:hAnsi="Aptos"/>
          <w:color w:val="000000" w:themeColor="text1"/>
        </w:rPr>
      </w:pPr>
      <w:bookmarkStart w:id="49" w:name="Xba8bea7d09be33793318034e58c06c6cfd6f573"/>
      <w:bookmarkStart w:id="50" w:name="_Toc188625308"/>
      <w:r w:rsidRPr="1B9F46DA">
        <w:rPr>
          <w:rFonts w:ascii="Aptos" w:hAnsi="Aptos"/>
          <w:color w:val="000000" w:themeColor="text1"/>
        </w:rPr>
        <w:t xml:space="preserve">Enrolment procedures for </w:t>
      </w:r>
      <w:r w:rsidR="009739DD" w:rsidRPr="1B9F46DA">
        <w:rPr>
          <w:rFonts w:ascii="Aptos" w:hAnsi="Aptos"/>
          <w:color w:val="000000" w:themeColor="text1"/>
        </w:rPr>
        <w:t>PROSPECTIVELY RECRUITED</w:t>
      </w:r>
      <w:r w:rsidRPr="1B9F46DA">
        <w:rPr>
          <w:rFonts w:ascii="Aptos" w:hAnsi="Aptos"/>
          <w:color w:val="000000" w:themeColor="text1"/>
        </w:rPr>
        <w:t xml:space="preserve"> patients</w:t>
      </w:r>
      <w:bookmarkEnd w:id="49"/>
      <w:bookmarkEnd w:id="50"/>
    </w:p>
    <w:p w14:paraId="33F851F9" w14:textId="77777777" w:rsidR="009D2FC1" w:rsidRPr="001A60D6" w:rsidRDefault="009739DD" w:rsidP="009739DD">
      <w:pPr>
        <w:pStyle w:val="FirstParagraph"/>
        <w:jc w:val="both"/>
        <w:rPr>
          <w:rFonts w:ascii="Aptos" w:hAnsi="Aptos"/>
          <w:color w:val="000000" w:themeColor="text1"/>
          <w:sz w:val="22"/>
          <w:szCs w:val="22"/>
        </w:rPr>
      </w:pPr>
      <w:r w:rsidRPr="001A60D6">
        <w:rPr>
          <w:rFonts w:ascii="Aptos" w:hAnsi="Aptos"/>
          <w:color w:val="000000" w:themeColor="text1"/>
          <w:sz w:val="22"/>
          <w:szCs w:val="22"/>
        </w:rPr>
        <w:t>Critically ill</w:t>
      </w:r>
      <w:r w:rsidR="00F73D80" w:rsidRPr="001A60D6">
        <w:rPr>
          <w:rFonts w:ascii="Aptos" w:hAnsi="Aptos"/>
          <w:color w:val="000000" w:themeColor="text1"/>
          <w:sz w:val="22"/>
          <w:szCs w:val="22"/>
        </w:rPr>
        <w:t xml:space="preserve"> patients will </w:t>
      </w:r>
      <w:r w:rsidR="008C20F4" w:rsidRPr="001A60D6">
        <w:rPr>
          <w:rFonts w:ascii="Aptos" w:hAnsi="Aptos"/>
          <w:color w:val="000000" w:themeColor="text1"/>
          <w:sz w:val="22"/>
          <w:szCs w:val="22"/>
        </w:rPr>
        <w:t xml:space="preserve">primarily </w:t>
      </w:r>
      <w:r w:rsidR="00F73D80" w:rsidRPr="001A60D6">
        <w:rPr>
          <w:rFonts w:ascii="Aptos" w:hAnsi="Aptos"/>
          <w:color w:val="000000" w:themeColor="text1"/>
          <w:sz w:val="22"/>
          <w:szCs w:val="22"/>
        </w:rPr>
        <w:t>be identified and recruited in hospital during acute illness. Potential participants will be identified through hospital staff upon presentation at recruiting sites. The disease processes under study have a high mortality, so it is desirable to recruit patients as early as possible in the disease process. Participants who can consent for themselves or where the patient cannot consent for themselves a personal consultee will be approached by staff trained in consent procedures that protect the rights of the patient and adhere to the ethical principles within the Declaration of Helsinki</w:t>
      </w:r>
      <w:r w:rsidR="00F73D80" w:rsidRPr="001A60D6">
        <w:rPr>
          <w:rFonts w:ascii="Aptos" w:hAnsi="Aptos"/>
          <w:color w:val="000000" w:themeColor="text1"/>
          <w:sz w:val="22"/>
          <w:szCs w:val="22"/>
          <w:highlight w:val="yellow"/>
        </w:rPr>
        <w:t xml:space="preserve"> and to the Adults with Incapacity Act (2000) Scotland, Mental Capacity Act (2005) England and Wales 2005 or the Mental Capacity Act (Northern Ireland) 2016</w:t>
      </w:r>
      <w:r w:rsidR="00F73D80" w:rsidRPr="001A60D6">
        <w:rPr>
          <w:rFonts w:ascii="Aptos" w:hAnsi="Aptos"/>
          <w:color w:val="000000" w:themeColor="text1"/>
          <w:sz w:val="22"/>
          <w:szCs w:val="22"/>
        </w:rPr>
        <w:t xml:space="preserve">, </w:t>
      </w:r>
      <w:r w:rsidR="00F806B3" w:rsidRPr="001A60D6">
        <w:rPr>
          <w:rFonts w:ascii="Aptos" w:hAnsi="Aptos"/>
          <w:color w:val="000000" w:themeColor="text1"/>
          <w:sz w:val="22"/>
          <w:szCs w:val="22"/>
        </w:rPr>
        <w:t xml:space="preserve">or other appropriate local guidance </w:t>
      </w:r>
      <w:r w:rsidR="00F73D80" w:rsidRPr="001A60D6">
        <w:rPr>
          <w:rFonts w:ascii="Aptos" w:hAnsi="Aptos"/>
          <w:color w:val="000000" w:themeColor="text1"/>
          <w:sz w:val="22"/>
          <w:szCs w:val="22"/>
        </w:rPr>
        <w:t xml:space="preserve">depending on the location of recruitment. </w:t>
      </w:r>
    </w:p>
    <w:p w14:paraId="50757139" w14:textId="6812CC69" w:rsidR="00F73D80" w:rsidRPr="001A60D6" w:rsidRDefault="00F73D80" w:rsidP="009739DD">
      <w:pPr>
        <w:pStyle w:val="FirstParagraph"/>
        <w:jc w:val="both"/>
        <w:rPr>
          <w:rFonts w:ascii="Aptos" w:hAnsi="Aptos"/>
          <w:color w:val="000000" w:themeColor="text1"/>
          <w:sz w:val="22"/>
          <w:szCs w:val="22"/>
        </w:rPr>
      </w:pPr>
      <w:r w:rsidRPr="001A60D6">
        <w:rPr>
          <w:rFonts w:ascii="Aptos" w:hAnsi="Aptos"/>
          <w:color w:val="000000" w:themeColor="text1"/>
          <w:sz w:val="22"/>
          <w:szCs w:val="22"/>
        </w:rPr>
        <w:t>Staff will explain the details of the study to the participant, their parent/guardian, nearest relative</w:t>
      </w:r>
      <w:r w:rsidR="00806A6F" w:rsidRPr="001A60D6">
        <w:rPr>
          <w:rFonts w:ascii="Aptos" w:hAnsi="Aptos"/>
          <w:color w:val="000000" w:themeColor="text1"/>
          <w:sz w:val="22"/>
          <w:szCs w:val="22"/>
        </w:rPr>
        <w:t>, legal representative,</w:t>
      </w:r>
      <w:r w:rsidRPr="001A60D6">
        <w:rPr>
          <w:rFonts w:ascii="Aptos" w:hAnsi="Aptos"/>
          <w:color w:val="000000" w:themeColor="text1"/>
          <w:sz w:val="22"/>
          <w:szCs w:val="22"/>
        </w:rPr>
        <w:t xml:space="preserve"> or an appropriate </w:t>
      </w:r>
      <w:r w:rsidR="00806A6F" w:rsidRPr="001A60D6">
        <w:rPr>
          <w:rFonts w:ascii="Aptos" w:hAnsi="Aptos"/>
          <w:color w:val="000000" w:themeColor="text1"/>
          <w:sz w:val="22"/>
          <w:szCs w:val="22"/>
        </w:rPr>
        <w:t xml:space="preserve">nominated </w:t>
      </w:r>
      <w:r w:rsidRPr="001A60D6">
        <w:rPr>
          <w:rFonts w:ascii="Aptos" w:hAnsi="Aptos"/>
          <w:color w:val="000000" w:themeColor="text1"/>
          <w:sz w:val="22"/>
          <w:szCs w:val="22"/>
        </w:rPr>
        <w:t>consultee and allow them time to discuss and ask questions. The staff will review the informed consent form with the person giving consent or the personal consultee and endeavour to ensure understanding of the contents, including study procedures, risks, benefits, and the right to withdraw. Participants who can agree to participate (or where the participant is unable to consent, with the advice of the personal consultee</w:t>
      </w:r>
      <w:r w:rsidR="00BA2ECB" w:rsidRPr="001A60D6">
        <w:rPr>
          <w:rFonts w:ascii="Aptos" w:hAnsi="Aptos"/>
          <w:color w:val="000000" w:themeColor="text1"/>
          <w:sz w:val="22"/>
          <w:szCs w:val="22"/>
        </w:rPr>
        <w:t xml:space="preserve"> or other legal or nominated representative</w:t>
      </w:r>
      <w:r w:rsidRPr="001A60D6">
        <w:rPr>
          <w:rFonts w:ascii="Aptos" w:hAnsi="Aptos"/>
          <w:color w:val="000000" w:themeColor="text1"/>
          <w:sz w:val="22"/>
          <w:szCs w:val="22"/>
        </w:rPr>
        <w:t>) will be asked to sign and date an informed consent form.</w:t>
      </w:r>
    </w:p>
    <w:p w14:paraId="44857A63" w14:textId="77777777" w:rsidR="00F73D80" w:rsidRPr="001A60D6" w:rsidRDefault="00F73D80" w:rsidP="009739DD">
      <w:pPr>
        <w:pStyle w:val="BodyText"/>
        <w:jc w:val="both"/>
        <w:rPr>
          <w:rFonts w:ascii="Aptos" w:hAnsi="Aptos"/>
          <w:color w:val="000000" w:themeColor="text1"/>
          <w:sz w:val="22"/>
          <w:szCs w:val="22"/>
        </w:rPr>
      </w:pPr>
      <w:r w:rsidRPr="001A60D6">
        <w:rPr>
          <w:rFonts w:ascii="Aptos" w:hAnsi="Aptos"/>
          <w:color w:val="000000" w:themeColor="text1"/>
          <w:sz w:val="22"/>
          <w:szCs w:val="22"/>
        </w:rPr>
        <w:t>In view of the importance of early sampling, participants or their parent/guardian/nearest relative/consultee will be permitted to consent / advise and begin to participate in the study immediately if they wish to do so. Those who prefer more time to consider participation will be approached again after an agreed time, normally one day, to discuss further.</w:t>
      </w:r>
    </w:p>
    <w:p w14:paraId="4FB50A45" w14:textId="34E54A11" w:rsidR="00F73D80" w:rsidRDefault="00F73D80" w:rsidP="009739DD">
      <w:pPr>
        <w:pStyle w:val="BodyText"/>
        <w:jc w:val="both"/>
        <w:rPr>
          <w:rFonts w:ascii="Aptos" w:hAnsi="Aptos"/>
          <w:color w:val="000000" w:themeColor="text1"/>
          <w:sz w:val="22"/>
          <w:szCs w:val="22"/>
        </w:rPr>
      </w:pPr>
      <w:r w:rsidRPr="001A60D6">
        <w:rPr>
          <w:rFonts w:ascii="Aptos" w:hAnsi="Aptos"/>
          <w:color w:val="000000" w:themeColor="text1"/>
          <w:sz w:val="22"/>
          <w:szCs w:val="22"/>
        </w:rPr>
        <w:t>Patients who meet the entry</w:t>
      </w:r>
      <w:r w:rsidRPr="001A60D6">
        <w:rPr>
          <w:rFonts w:ascii="Aptos" w:hAnsi="Aptos"/>
          <w:color w:val="000000" w:themeColor="text1"/>
          <w:sz w:val="22"/>
          <w:szCs w:val="22"/>
        </w:rPr>
        <w:softHyphen/>
      </w:r>
      <w:r w:rsidRPr="001A60D6">
        <w:rPr>
          <w:rFonts w:ascii="Aptos" w:hAnsi="Aptos"/>
          <w:color w:val="000000" w:themeColor="text1"/>
          <w:sz w:val="22"/>
          <w:szCs w:val="22"/>
        </w:rPr>
        <w:softHyphen/>
        <w:t xml:space="preserve"> criteria and who have given informed consent to participate directly, or where agreement is declared by a parent/guardian/nearest relative/consultee, will be enrolled to the study.</w:t>
      </w:r>
    </w:p>
    <w:p w14:paraId="5B5737C1" w14:textId="4AA88945" w:rsidR="00261965" w:rsidRPr="001A60D6" w:rsidRDefault="003C7999" w:rsidP="009739DD">
      <w:pPr>
        <w:pStyle w:val="BodyText"/>
        <w:jc w:val="both"/>
        <w:rPr>
          <w:rFonts w:ascii="Aptos" w:hAnsi="Aptos"/>
          <w:color w:val="000000" w:themeColor="text1"/>
          <w:sz w:val="22"/>
          <w:szCs w:val="22"/>
        </w:rPr>
      </w:pPr>
      <w:r w:rsidRPr="003C7999">
        <w:rPr>
          <w:rFonts w:ascii="Aptos" w:hAnsi="Aptos"/>
          <w:color w:val="000000" w:themeColor="text1"/>
          <w:sz w:val="22"/>
          <w:szCs w:val="22"/>
          <w:highlight w:val="yellow"/>
        </w:rPr>
        <w:t xml:space="preserve">In England, Wales and Northern Ireland, professional consent from a nominated consultee is an option. Whilst nominated consultees (e.g., professionals not connected to GenOMICC) are permitted to provide an opinion in some areas (not Scotland, where only a welfare guardian or welfare attorney can give advice in the absence of a next of kin), this should only be used if every effort to contact a next of kin or close person has been unsuccessful. Nominated consultee opinions should not be used if the patient has close family or another close person who is willing to act as a personal consultee. </w:t>
      </w:r>
      <w:r w:rsidR="00261965">
        <w:rPr>
          <w:rFonts w:ascii="Aptos" w:hAnsi="Aptos"/>
          <w:color w:val="000000" w:themeColor="text1"/>
          <w:sz w:val="22"/>
          <w:szCs w:val="22"/>
          <w:highlight w:val="yellow"/>
        </w:rPr>
        <w:t>[</w:t>
      </w:r>
      <w:r w:rsidR="00261965" w:rsidRPr="00261965">
        <w:rPr>
          <w:rFonts w:ascii="Aptos" w:hAnsi="Aptos"/>
          <w:color w:val="000000" w:themeColor="text1"/>
          <w:sz w:val="22"/>
          <w:szCs w:val="22"/>
          <w:highlight w:val="yellow"/>
        </w:rPr>
        <w:t>Insert local regulations for using professional consent if available</w:t>
      </w:r>
      <w:r w:rsidR="00261965">
        <w:rPr>
          <w:rFonts w:ascii="Aptos" w:hAnsi="Aptos"/>
          <w:color w:val="000000" w:themeColor="text1"/>
          <w:sz w:val="22"/>
          <w:szCs w:val="22"/>
          <w:highlight w:val="yellow"/>
        </w:rPr>
        <w:t>]</w:t>
      </w:r>
      <w:r w:rsidR="00261965" w:rsidRPr="00261965">
        <w:rPr>
          <w:rFonts w:ascii="Aptos" w:hAnsi="Aptos"/>
          <w:color w:val="000000" w:themeColor="text1"/>
          <w:sz w:val="22"/>
          <w:szCs w:val="22"/>
          <w:highlight w:val="yellow"/>
        </w:rPr>
        <w:t>.</w:t>
      </w:r>
    </w:p>
    <w:p w14:paraId="6F57DEE4" w14:textId="77777777" w:rsidR="00F73D80" w:rsidRPr="001A60D6" w:rsidRDefault="00F73D80" w:rsidP="009739DD">
      <w:pPr>
        <w:pStyle w:val="BodyText"/>
        <w:jc w:val="both"/>
        <w:rPr>
          <w:rFonts w:ascii="Aptos" w:hAnsi="Aptos"/>
          <w:color w:val="000000" w:themeColor="text1"/>
          <w:sz w:val="22"/>
          <w:szCs w:val="22"/>
        </w:rPr>
      </w:pPr>
      <w:r w:rsidRPr="001A60D6">
        <w:rPr>
          <w:rFonts w:ascii="Aptos" w:hAnsi="Aptos"/>
          <w:color w:val="000000" w:themeColor="text1"/>
          <w:sz w:val="22"/>
          <w:szCs w:val="22"/>
        </w:rPr>
        <w:t>Samples and data will be collected according to available resources and the weight of the patient will be measured for children under 12 in order to prevent excessive volume sampling. Samples required for medical management will at all times have priority over samples taken for research tests. Aliquots or samples for research purposes should never compromise the quality or quantity of samples required for medical management. Wherever practical, taking research samples should be timed to coincide with clinical sampling. The research team will be responsible for sharing the sampling protocol with health care workers supporting patient management in order to minimise disruption to routine care and avoid unnecessary procedures.</w:t>
      </w:r>
    </w:p>
    <w:p w14:paraId="190ECB43" w14:textId="12FB2357" w:rsidR="00F73D80" w:rsidRPr="001A60D6" w:rsidRDefault="00F73D80" w:rsidP="00F73D80">
      <w:pPr>
        <w:pStyle w:val="Heading3"/>
        <w:rPr>
          <w:rFonts w:ascii="Aptos" w:hAnsi="Aptos"/>
          <w:color w:val="000000" w:themeColor="text1"/>
        </w:rPr>
      </w:pPr>
      <w:bookmarkStart w:id="51" w:name="_Toc188625309"/>
      <w:r w:rsidRPr="1B9F46DA">
        <w:rPr>
          <w:rFonts w:ascii="Aptos" w:hAnsi="Aptos"/>
          <w:color w:val="000000" w:themeColor="text1"/>
        </w:rPr>
        <w:t>procedures for</w:t>
      </w:r>
      <w:r w:rsidR="0065150E" w:rsidRPr="1B9F46DA">
        <w:rPr>
          <w:rFonts w:ascii="Aptos" w:hAnsi="Aptos"/>
          <w:color w:val="000000" w:themeColor="text1"/>
        </w:rPr>
        <w:t xml:space="preserve"> CONSENTING PAT</w:t>
      </w:r>
      <w:r w:rsidRPr="1B9F46DA">
        <w:rPr>
          <w:rFonts w:ascii="Aptos" w:hAnsi="Aptos"/>
          <w:color w:val="000000" w:themeColor="text1"/>
        </w:rPr>
        <w:t>I</w:t>
      </w:r>
      <w:r w:rsidR="0065150E" w:rsidRPr="1B9F46DA">
        <w:rPr>
          <w:rFonts w:ascii="Aptos" w:hAnsi="Aptos"/>
          <w:color w:val="000000" w:themeColor="text1"/>
        </w:rPr>
        <w:t>E</w:t>
      </w:r>
      <w:r w:rsidRPr="1B9F46DA">
        <w:rPr>
          <w:rFonts w:ascii="Aptos" w:hAnsi="Aptos"/>
          <w:color w:val="000000" w:themeColor="text1"/>
        </w:rPr>
        <w:t>NTS WITH REGAINED CAPACITY</w:t>
      </w:r>
      <w:bookmarkEnd w:id="51"/>
    </w:p>
    <w:p w14:paraId="41109D4D" w14:textId="05D3497E" w:rsidR="00CC761A" w:rsidRPr="001A60D6" w:rsidRDefault="00F73D80" w:rsidP="00F24F4E">
      <w:pPr>
        <w:pStyle w:val="BodyText"/>
        <w:jc w:val="both"/>
        <w:rPr>
          <w:rFonts w:ascii="Aptos" w:hAnsi="Aptos"/>
          <w:color w:val="000000" w:themeColor="text1"/>
          <w:sz w:val="22"/>
          <w:szCs w:val="22"/>
        </w:rPr>
      </w:pPr>
      <w:r w:rsidRPr="001A60D6">
        <w:rPr>
          <w:rFonts w:ascii="Aptos" w:hAnsi="Aptos"/>
          <w:color w:val="000000" w:themeColor="text1"/>
          <w:sz w:val="22"/>
          <w:szCs w:val="22"/>
        </w:rPr>
        <w:t xml:space="preserve">Consent will be sought </w:t>
      </w:r>
      <w:r w:rsidR="00547C57" w:rsidRPr="001A60D6">
        <w:rPr>
          <w:rFonts w:ascii="Aptos" w:hAnsi="Aptos"/>
          <w:color w:val="000000" w:themeColor="text1"/>
          <w:sz w:val="22"/>
          <w:szCs w:val="22"/>
        </w:rPr>
        <w:t>from participants</w:t>
      </w:r>
      <w:r w:rsidR="001D4067" w:rsidRPr="001A60D6">
        <w:rPr>
          <w:rFonts w:ascii="Aptos" w:hAnsi="Aptos"/>
          <w:color w:val="000000" w:themeColor="text1"/>
          <w:sz w:val="22"/>
          <w:szCs w:val="22"/>
        </w:rPr>
        <w:t xml:space="preserve"> who survive critical illness and regain capacity</w:t>
      </w:r>
      <w:r w:rsidR="00A41590" w:rsidRPr="001A60D6">
        <w:rPr>
          <w:rFonts w:ascii="Aptos" w:hAnsi="Aptos"/>
          <w:color w:val="000000" w:themeColor="text1"/>
          <w:sz w:val="22"/>
          <w:szCs w:val="22"/>
        </w:rPr>
        <w:t xml:space="preserve">, </w:t>
      </w:r>
      <w:r w:rsidR="0077736C" w:rsidRPr="001A60D6">
        <w:rPr>
          <w:rFonts w:ascii="Aptos" w:hAnsi="Aptos"/>
          <w:color w:val="000000" w:themeColor="text1"/>
          <w:sz w:val="22"/>
          <w:szCs w:val="22"/>
        </w:rPr>
        <w:t>and who</w:t>
      </w:r>
      <w:r w:rsidRPr="001A60D6">
        <w:rPr>
          <w:rFonts w:ascii="Aptos" w:hAnsi="Aptos"/>
          <w:color w:val="000000" w:themeColor="text1"/>
          <w:sz w:val="22"/>
          <w:szCs w:val="22"/>
        </w:rPr>
        <w:t xml:space="preserve"> were included in the study following consent or assent from another party (such as a nearest relative or consultee) because of temporary incapacity. This is expected to </w:t>
      </w:r>
      <w:r w:rsidR="00547C57" w:rsidRPr="001A60D6">
        <w:rPr>
          <w:rFonts w:ascii="Aptos" w:hAnsi="Aptos"/>
          <w:color w:val="000000" w:themeColor="text1"/>
          <w:sz w:val="22"/>
          <w:szCs w:val="22"/>
        </w:rPr>
        <w:t>occur in</w:t>
      </w:r>
      <w:r w:rsidR="004B5039" w:rsidRPr="001A60D6">
        <w:rPr>
          <w:rFonts w:ascii="Aptos" w:hAnsi="Aptos"/>
          <w:color w:val="000000" w:themeColor="text1"/>
          <w:sz w:val="22"/>
          <w:szCs w:val="22"/>
        </w:rPr>
        <w:t xml:space="preserve">-person </w:t>
      </w:r>
      <w:r w:rsidRPr="001A60D6">
        <w:rPr>
          <w:rFonts w:ascii="Aptos" w:hAnsi="Aptos"/>
          <w:color w:val="000000" w:themeColor="text1"/>
          <w:sz w:val="22"/>
          <w:szCs w:val="22"/>
        </w:rPr>
        <w:t xml:space="preserve">during the index </w:t>
      </w:r>
      <w:r w:rsidR="00895448" w:rsidRPr="001A60D6">
        <w:rPr>
          <w:rFonts w:ascii="Aptos" w:hAnsi="Aptos"/>
          <w:color w:val="000000" w:themeColor="text1"/>
          <w:sz w:val="22"/>
          <w:szCs w:val="22"/>
        </w:rPr>
        <w:t xml:space="preserve">hospitalisation. In </w:t>
      </w:r>
      <w:r w:rsidRPr="001A60D6">
        <w:rPr>
          <w:rFonts w:ascii="Aptos" w:hAnsi="Aptos"/>
          <w:color w:val="000000" w:themeColor="text1"/>
          <w:sz w:val="22"/>
          <w:szCs w:val="22"/>
        </w:rPr>
        <w:t xml:space="preserve">some </w:t>
      </w:r>
      <w:r w:rsidR="00CC761A" w:rsidRPr="001A60D6">
        <w:rPr>
          <w:rFonts w:ascii="Aptos" w:hAnsi="Aptos"/>
          <w:color w:val="000000" w:themeColor="text1"/>
          <w:sz w:val="22"/>
          <w:szCs w:val="22"/>
        </w:rPr>
        <w:t>cases,</w:t>
      </w:r>
      <w:r w:rsidRPr="001A60D6">
        <w:rPr>
          <w:rFonts w:ascii="Aptos" w:hAnsi="Aptos"/>
          <w:color w:val="000000" w:themeColor="text1"/>
          <w:sz w:val="22"/>
          <w:szCs w:val="22"/>
        </w:rPr>
        <w:t xml:space="preserve"> </w:t>
      </w:r>
      <w:r w:rsidR="00547C57" w:rsidRPr="001A60D6">
        <w:rPr>
          <w:rFonts w:ascii="Aptos" w:hAnsi="Aptos"/>
          <w:color w:val="000000" w:themeColor="text1"/>
          <w:sz w:val="22"/>
          <w:szCs w:val="22"/>
        </w:rPr>
        <w:t>if consent</w:t>
      </w:r>
      <w:r w:rsidRPr="001A60D6">
        <w:rPr>
          <w:rFonts w:ascii="Aptos" w:hAnsi="Aptos"/>
          <w:color w:val="000000" w:themeColor="text1"/>
          <w:sz w:val="22"/>
          <w:szCs w:val="22"/>
        </w:rPr>
        <w:t xml:space="preserve"> has</w:t>
      </w:r>
      <w:r w:rsidR="00250788" w:rsidRPr="001A60D6">
        <w:rPr>
          <w:rFonts w:ascii="Aptos" w:hAnsi="Aptos"/>
          <w:color w:val="000000" w:themeColor="text1"/>
          <w:sz w:val="22"/>
          <w:szCs w:val="22"/>
        </w:rPr>
        <w:t xml:space="preserve"> not been obtained</w:t>
      </w:r>
      <w:r w:rsidR="003C6F8A" w:rsidRPr="001A60D6">
        <w:rPr>
          <w:rFonts w:ascii="Aptos" w:hAnsi="Aptos"/>
          <w:color w:val="000000" w:themeColor="text1"/>
          <w:sz w:val="22"/>
          <w:szCs w:val="22"/>
        </w:rPr>
        <w:t xml:space="preserve"> before discharge</w:t>
      </w:r>
      <w:r w:rsidRPr="001A60D6">
        <w:rPr>
          <w:rFonts w:ascii="Aptos" w:hAnsi="Aptos"/>
          <w:color w:val="000000" w:themeColor="text1"/>
          <w:sz w:val="22"/>
          <w:szCs w:val="22"/>
        </w:rPr>
        <w:t xml:space="preserve"> </w:t>
      </w:r>
      <w:r w:rsidR="004E6B25" w:rsidRPr="001A60D6">
        <w:rPr>
          <w:rFonts w:ascii="Aptos" w:hAnsi="Aptos"/>
          <w:color w:val="000000" w:themeColor="text1"/>
          <w:sz w:val="22"/>
          <w:szCs w:val="22"/>
        </w:rPr>
        <w:t xml:space="preserve">or transfer to another hospital, attempts </w:t>
      </w:r>
      <w:r w:rsidR="004A0F1C" w:rsidRPr="001A60D6">
        <w:rPr>
          <w:rFonts w:ascii="Aptos" w:hAnsi="Aptos"/>
          <w:color w:val="000000" w:themeColor="text1"/>
          <w:sz w:val="22"/>
          <w:szCs w:val="22"/>
        </w:rPr>
        <w:t>t</w:t>
      </w:r>
      <w:r w:rsidR="004E6B25" w:rsidRPr="001A60D6">
        <w:rPr>
          <w:rFonts w:ascii="Aptos" w:hAnsi="Aptos"/>
          <w:color w:val="000000" w:themeColor="text1"/>
          <w:sz w:val="22"/>
          <w:szCs w:val="22"/>
        </w:rPr>
        <w:t>o re-consent</w:t>
      </w:r>
      <w:r w:rsidRPr="001A60D6">
        <w:rPr>
          <w:rFonts w:ascii="Aptos" w:hAnsi="Aptos"/>
          <w:color w:val="000000" w:themeColor="text1"/>
          <w:sz w:val="22"/>
          <w:szCs w:val="22"/>
        </w:rPr>
        <w:t xml:space="preserve"> </w:t>
      </w:r>
      <w:r w:rsidR="004A0F1C" w:rsidRPr="001A60D6">
        <w:rPr>
          <w:rFonts w:ascii="Aptos" w:hAnsi="Aptos"/>
          <w:color w:val="000000" w:themeColor="text1"/>
          <w:sz w:val="22"/>
          <w:szCs w:val="22"/>
        </w:rPr>
        <w:t>directly will be made by other means.</w:t>
      </w:r>
    </w:p>
    <w:p w14:paraId="506523F4" w14:textId="77777777" w:rsidR="00756D74" w:rsidRPr="001A60D6" w:rsidRDefault="00756D74" w:rsidP="00CA6DA3">
      <w:pPr>
        <w:pStyle w:val="Heading3"/>
        <w:rPr>
          <w:rFonts w:ascii="Aptos" w:hAnsi="Aptos"/>
        </w:rPr>
      </w:pPr>
      <w:bookmarkStart w:id="52" w:name="_Toc156378694"/>
      <w:bookmarkStart w:id="53" w:name="_Toc181256570"/>
      <w:bookmarkStart w:id="54" w:name="_Toc188625310"/>
      <w:r w:rsidRPr="1B9F46DA">
        <w:rPr>
          <w:rFonts w:ascii="Aptos" w:hAnsi="Aptos"/>
        </w:rPr>
        <w:t>Attempts to re-consent following discharge</w:t>
      </w:r>
      <w:bookmarkEnd w:id="52"/>
      <w:bookmarkEnd w:id="53"/>
      <w:bookmarkEnd w:id="54"/>
    </w:p>
    <w:p w14:paraId="53211EA2" w14:textId="3A34CB63" w:rsidR="00756D74" w:rsidRPr="001A60D6" w:rsidRDefault="00756D74" w:rsidP="00CA6DA3">
      <w:pPr>
        <w:pStyle w:val="BodyText"/>
        <w:jc w:val="both"/>
        <w:rPr>
          <w:rFonts w:ascii="Aptos" w:hAnsi="Aptos"/>
          <w:color w:val="000000" w:themeColor="text1"/>
          <w:sz w:val="22"/>
          <w:szCs w:val="22"/>
        </w:rPr>
      </w:pPr>
      <w:r w:rsidRPr="001A60D6">
        <w:rPr>
          <w:rFonts w:ascii="Aptos" w:hAnsi="Aptos"/>
          <w:color w:val="000000" w:themeColor="text1"/>
          <w:sz w:val="22"/>
          <w:szCs w:val="22"/>
        </w:rPr>
        <w:t xml:space="preserve">Attempts to contact discharged participants should be made as soon as reasonably possible after discharge to initiate the consent process, if patient capacity allows. Research and clinical teams should be enabled to contact discharged patients by any reasonable means, such as email (if available), telephone or a letter by post. Although the full consent process will be carried out either by telephone or post, the initial means of contacting the patient may take several attempts, especially considering working age people who may not have the same means of communicating during normal working hours or people who may not answer calls from unknown numbers. </w:t>
      </w:r>
    </w:p>
    <w:p w14:paraId="38A10245" w14:textId="166B5B1A" w:rsidR="00756D74" w:rsidRPr="001A60D6" w:rsidRDefault="00756D74" w:rsidP="00CA6DA3">
      <w:pPr>
        <w:pStyle w:val="BodyText"/>
        <w:jc w:val="both"/>
        <w:rPr>
          <w:rFonts w:ascii="Aptos" w:hAnsi="Aptos"/>
          <w:color w:val="000000" w:themeColor="text1"/>
          <w:sz w:val="22"/>
          <w:szCs w:val="22"/>
        </w:rPr>
      </w:pPr>
      <w:r w:rsidRPr="001A60D6">
        <w:rPr>
          <w:rFonts w:ascii="Aptos" w:hAnsi="Aptos"/>
          <w:color w:val="000000" w:themeColor="text1"/>
          <w:sz w:val="22"/>
          <w:szCs w:val="22"/>
        </w:rPr>
        <w:t>Initial contact may be personalised where possible based on knowledge of the participant. Any contact method named above may be attempted twice, with a period of 4 weeks between each contact, before a final letter is issued by post. If there are means to do so, the participant’s GP may be contacted via secure means and asked to pass on our regained capacity consent letter. All contact efforts should be recorded in the investigator site file with a final consent update added to the clinical database.</w:t>
      </w:r>
    </w:p>
    <w:p w14:paraId="13E0ED9B" w14:textId="77777777" w:rsidR="00756D74" w:rsidRPr="001A60D6" w:rsidRDefault="00756D74" w:rsidP="00CA6DA3">
      <w:pPr>
        <w:pStyle w:val="BodyText"/>
        <w:jc w:val="both"/>
        <w:rPr>
          <w:rFonts w:ascii="Aptos" w:hAnsi="Aptos"/>
          <w:color w:val="000000" w:themeColor="text1"/>
          <w:sz w:val="22"/>
          <w:szCs w:val="22"/>
        </w:rPr>
      </w:pPr>
      <w:r w:rsidRPr="001A60D6">
        <w:rPr>
          <w:rFonts w:ascii="Aptos" w:hAnsi="Aptos"/>
          <w:color w:val="000000" w:themeColor="text1"/>
          <w:sz w:val="22"/>
          <w:szCs w:val="22"/>
        </w:rPr>
        <w:t>Participants who decline to participate at this stage will be removed from the study following our established withdrawal procedures. Data that has already been used in research cannot be removed from the study.</w:t>
      </w:r>
    </w:p>
    <w:p w14:paraId="3708134C" w14:textId="77777777" w:rsidR="00756D74" w:rsidRPr="001A60D6" w:rsidRDefault="00756D74" w:rsidP="00CA6DA3">
      <w:pPr>
        <w:pStyle w:val="BodyText"/>
        <w:jc w:val="both"/>
        <w:rPr>
          <w:rFonts w:ascii="Aptos" w:hAnsi="Aptos"/>
          <w:color w:val="000000" w:themeColor="text1"/>
          <w:sz w:val="22"/>
          <w:szCs w:val="22"/>
        </w:rPr>
      </w:pPr>
      <w:r w:rsidRPr="001A60D6">
        <w:rPr>
          <w:rFonts w:ascii="Aptos" w:hAnsi="Aptos"/>
          <w:color w:val="000000" w:themeColor="text1"/>
          <w:sz w:val="22"/>
          <w:szCs w:val="22"/>
        </w:rPr>
        <w:t>Where the participant cannot be re-contacted despite best endeavours, they will remain in the study based on the advice from the patient’s next of kin, legal representative, or consultee at the time of enrolment. This does not affect the rights of any participant to withdraw from the study at any future date.</w:t>
      </w:r>
    </w:p>
    <w:p w14:paraId="4BD92918" w14:textId="77777777" w:rsidR="00756D74" w:rsidRPr="001A60D6" w:rsidRDefault="00756D74" w:rsidP="00CA6DA3">
      <w:pPr>
        <w:pStyle w:val="BodyText"/>
        <w:jc w:val="both"/>
        <w:rPr>
          <w:rFonts w:ascii="Aptos" w:hAnsi="Aptos"/>
          <w:color w:val="000000" w:themeColor="text1"/>
          <w:sz w:val="22"/>
          <w:szCs w:val="22"/>
        </w:rPr>
      </w:pPr>
      <w:r w:rsidRPr="001A60D6">
        <w:rPr>
          <w:rFonts w:ascii="Aptos" w:hAnsi="Aptos"/>
          <w:color w:val="000000" w:themeColor="text1"/>
          <w:sz w:val="22"/>
          <w:szCs w:val="22"/>
        </w:rPr>
        <w:t>In the situation where a participant does not survive or will not regain mental capacity, they will remain in the study based on the advice from the patient’s next of kin, legal representative, or consultee at the time of enrolment.</w:t>
      </w:r>
    </w:p>
    <w:p w14:paraId="635C4EE3" w14:textId="5B407D81" w:rsidR="00904AB8" w:rsidRPr="001A60D6" w:rsidRDefault="0076057D" w:rsidP="00CA6DA3">
      <w:pPr>
        <w:pStyle w:val="Heading3"/>
        <w:rPr>
          <w:rFonts w:ascii="Aptos" w:hAnsi="Aptos"/>
        </w:rPr>
      </w:pPr>
      <w:bookmarkStart w:id="55" w:name="_Toc188625311"/>
      <w:r w:rsidRPr="1B9F46DA">
        <w:rPr>
          <w:rFonts w:ascii="Aptos" w:hAnsi="Aptos"/>
        </w:rPr>
        <w:t>CAPACITY ASSESSMENTS</w:t>
      </w:r>
      <w:bookmarkEnd w:id="55"/>
    </w:p>
    <w:p w14:paraId="076A94B9" w14:textId="79E00085" w:rsidR="003A7A7F" w:rsidRPr="001A60D6" w:rsidRDefault="00F73D80" w:rsidP="00F24F4E">
      <w:pPr>
        <w:pStyle w:val="BodyText"/>
        <w:jc w:val="both"/>
        <w:rPr>
          <w:rFonts w:ascii="Aptos" w:hAnsi="Aptos"/>
          <w:color w:val="000000" w:themeColor="text1"/>
          <w:sz w:val="22"/>
          <w:szCs w:val="22"/>
        </w:rPr>
      </w:pPr>
      <w:r w:rsidRPr="001A60D6">
        <w:rPr>
          <w:rFonts w:ascii="Aptos" w:hAnsi="Aptos"/>
          <w:color w:val="000000" w:themeColor="text1"/>
          <w:sz w:val="22"/>
          <w:szCs w:val="22"/>
        </w:rPr>
        <w:t xml:space="preserve"> </w:t>
      </w:r>
      <w:r w:rsidR="004931D4" w:rsidRPr="001A60D6">
        <w:rPr>
          <w:rFonts w:ascii="Aptos" w:hAnsi="Aptos"/>
          <w:color w:val="000000" w:themeColor="text1"/>
          <w:sz w:val="22"/>
          <w:szCs w:val="22"/>
        </w:rPr>
        <w:t xml:space="preserve">Healthcare professionals in the research or clinical teams will assess capacity. If a </w:t>
      </w:r>
      <w:r w:rsidRPr="001A60D6">
        <w:rPr>
          <w:rFonts w:ascii="Aptos" w:hAnsi="Aptos"/>
          <w:color w:val="000000" w:themeColor="text1"/>
          <w:sz w:val="22"/>
          <w:szCs w:val="22"/>
        </w:rPr>
        <w:t xml:space="preserve">patient continues to be incapacitated beyond the follow-up period, the local investigator will plan a subsequent capacity check, after an interval to be </w:t>
      </w:r>
      <w:r w:rsidR="00547C57" w:rsidRPr="001A60D6">
        <w:rPr>
          <w:rFonts w:ascii="Aptos" w:hAnsi="Aptos"/>
          <w:color w:val="000000" w:themeColor="text1"/>
          <w:sz w:val="22"/>
          <w:szCs w:val="22"/>
        </w:rPr>
        <w:t>determined according</w:t>
      </w:r>
      <w:r w:rsidR="002476A2" w:rsidRPr="001A60D6">
        <w:rPr>
          <w:rFonts w:ascii="Aptos" w:hAnsi="Aptos"/>
          <w:color w:val="000000" w:themeColor="text1"/>
          <w:sz w:val="22"/>
          <w:szCs w:val="22"/>
        </w:rPr>
        <w:t xml:space="preserve"> </w:t>
      </w:r>
      <w:r w:rsidR="001B656D" w:rsidRPr="001A60D6">
        <w:rPr>
          <w:rFonts w:ascii="Aptos" w:hAnsi="Aptos"/>
          <w:color w:val="000000" w:themeColor="text1"/>
          <w:sz w:val="22"/>
          <w:szCs w:val="22"/>
        </w:rPr>
        <w:t xml:space="preserve">to </w:t>
      </w:r>
      <w:r w:rsidRPr="001A60D6">
        <w:rPr>
          <w:rFonts w:ascii="Aptos" w:hAnsi="Aptos"/>
          <w:color w:val="000000" w:themeColor="text1"/>
          <w:sz w:val="22"/>
          <w:szCs w:val="22"/>
        </w:rPr>
        <w:t xml:space="preserve">the nature of the incapacity. The planned dates of capacity checks on incapacitated survivors will be stored locally in the site file, together with a record of the outcome of each check. </w:t>
      </w:r>
    </w:p>
    <w:p w14:paraId="60F0791F" w14:textId="77777777" w:rsidR="000C0911" w:rsidRPr="001A60D6" w:rsidRDefault="000C0911" w:rsidP="00CA6DA3">
      <w:pPr>
        <w:pStyle w:val="Heading3"/>
        <w:rPr>
          <w:rFonts w:ascii="Aptos" w:hAnsi="Aptos"/>
        </w:rPr>
      </w:pPr>
      <w:bookmarkStart w:id="56" w:name="_Toc156378696"/>
      <w:bookmarkStart w:id="57" w:name="_Toc181256572"/>
      <w:bookmarkStart w:id="58" w:name="_Toc188625312"/>
      <w:r w:rsidRPr="1B9F46DA">
        <w:rPr>
          <w:rFonts w:ascii="Aptos" w:hAnsi="Aptos"/>
        </w:rPr>
        <w:t>Procedures for initial approach to consent and sample eligible participants</w:t>
      </w:r>
      <w:bookmarkEnd w:id="56"/>
      <w:bookmarkEnd w:id="57"/>
      <w:bookmarkEnd w:id="58"/>
    </w:p>
    <w:p w14:paraId="046396CC" w14:textId="77777777" w:rsidR="000C0911" w:rsidRPr="001A60D6" w:rsidRDefault="000C0911" w:rsidP="000C0911">
      <w:pPr>
        <w:pStyle w:val="FirstParagraph"/>
        <w:rPr>
          <w:rFonts w:ascii="Aptos" w:hAnsi="Aptos"/>
          <w:sz w:val="22"/>
          <w:szCs w:val="22"/>
        </w:rPr>
      </w:pPr>
      <w:r w:rsidRPr="001A60D6">
        <w:rPr>
          <w:rFonts w:ascii="Aptos" w:hAnsi="Aptos"/>
          <w:sz w:val="22"/>
          <w:szCs w:val="22"/>
        </w:rPr>
        <w:t xml:space="preserve">When a patient is identified as eligible to participate, recruitment procedure for all participants will follow the following steps, in order, stopping when a sample is obtained and sent by post to GenOMICC central laboratory. </w:t>
      </w:r>
    </w:p>
    <w:p w14:paraId="7B9CBF3C" w14:textId="7D639FB1" w:rsidR="000C0911" w:rsidRPr="00261965" w:rsidRDefault="006D7CEC" w:rsidP="006D7CEC">
      <w:pPr>
        <w:pStyle w:val="FirstParagraph"/>
        <w:numPr>
          <w:ilvl w:val="0"/>
          <w:numId w:val="43"/>
        </w:numPr>
        <w:jc w:val="both"/>
        <w:rPr>
          <w:rFonts w:ascii="Aptos" w:hAnsi="Aptos"/>
          <w:sz w:val="22"/>
          <w:szCs w:val="22"/>
          <w:highlight w:val="yellow"/>
        </w:rPr>
      </w:pPr>
      <w:bookmarkStart w:id="59" w:name="_Hlk188622942"/>
      <w:r w:rsidRPr="006D7CEC">
        <w:rPr>
          <w:rFonts w:ascii="Aptos" w:hAnsi="Aptos"/>
          <w:sz w:val="22"/>
          <w:szCs w:val="22"/>
          <w:highlight w:val="yellow"/>
        </w:rPr>
        <w:t xml:space="preserve">Where safe, appropriate, and feasible given local staff resources, a sample may be obtained and stored pending deferred consent. (See section on </w:t>
      </w:r>
      <w:hyperlink w:anchor="_Deferred_consent" w:history="1">
        <w:r w:rsidRPr="006D7CEC">
          <w:rPr>
            <w:rStyle w:val="Hyperlink"/>
            <w:rFonts w:ascii="Aptos" w:hAnsi="Aptos"/>
            <w:sz w:val="22"/>
            <w:szCs w:val="22"/>
            <w:highlight w:val="yellow"/>
          </w:rPr>
          <w:t>Deferred consent</w:t>
        </w:r>
      </w:hyperlink>
      <w:r w:rsidRPr="006D7CEC">
        <w:rPr>
          <w:rFonts w:ascii="Aptos" w:hAnsi="Aptos"/>
          <w:sz w:val="22"/>
          <w:szCs w:val="22"/>
          <w:highlight w:val="yellow"/>
        </w:rPr>
        <w:t>)</w:t>
      </w:r>
      <w:r w:rsidRPr="006D7CEC">
        <w:rPr>
          <w:rFonts w:ascii="Aptos" w:hAnsi="Aptos"/>
          <w:sz w:val="22"/>
          <w:szCs w:val="22"/>
          <w:highlight w:val="yellow"/>
        </w:rPr>
        <w:t xml:space="preserve"> </w:t>
      </w:r>
      <w:r w:rsidR="00261965" w:rsidRPr="00261965">
        <w:rPr>
          <w:rFonts w:ascii="Aptos" w:hAnsi="Aptos"/>
          <w:sz w:val="22"/>
          <w:szCs w:val="22"/>
          <w:highlight w:val="yellow"/>
        </w:rPr>
        <w:t>[Insert local regulations on deferred consent or remove</w:t>
      </w:r>
      <w:r w:rsidR="00261965">
        <w:rPr>
          <w:rFonts w:ascii="Aptos" w:hAnsi="Aptos"/>
          <w:sz w:val="22"/>
          <w:szCs w:val="22"/>
          <w:highlight w:val="yellow"/>
        </w:rPr>
        <w:t xml:space="preserve"> if not applicable</w:t>
      </w:r>
      <w:r w:rsidR="00261965" w:rsidRPr="00261965">
        <w:rPr>
          <w:rFonts w:ascii="Aptos" w:hAnsi="Aptos"/>
          <w:sz w:val="22"/>
          <w:szCs w:val="22"/>
          <w:highlight w:val="yellow"/>
        </w:rPr>
        <w:t>]</w:t>
      </w:r>
    </w:p>
    <w:bookmarkEnd w:id="59"/>
    <w:p w14:paraId="47616AAA" w14:textId="77777777" w:rsidR="000C0911" w:rsidRPr="001A60D6" w:rsidRDefault="000C0911" w:rsidP="006D7CEC">
      <w:pPr>
        <w:pStyle w:val="FirstParagraph"/>
        <w:numPr>
          <w:ilvl w:val="0"/>
          <w:numId w:val="43"/>
        </w:numPr>
        <w:jc w:val="both"/>
        <w:rPr>
          <w:rFonts w:ascii="Aptos" w:hAnsi="Aptos"/>
          <w:sz w:val="22"/>
          <w:szCs w:val="22"/>
        </w:rPr>
      </w:pPr>
      <w:r w:rsidRPr="001A60D6">
        <w:rPr>
          <w:rFonts w:ascii="Aptos" w:hAnsi="Aptos"/>
          <w:sz w:val="22"/>
          <w:szCs w:val="22"/>
        </w:rPr>
        <w:t>The participant, or appropriate representative will be approached by the clinical or research team caring for case to obtain consent:</w:t>
      </w:r>
    </w:p>
    <w:p w14:paraId="7F45DDFC" w14:textId="77777777" w:rsidR="000C0911" w:rsidRPr="001A60D6" w:rsidRDefault="000C0911" w:rsidP="006D7CEC">
      <w:pPr>
        <w:pStyle w:val="FirstParagraph"/>
        <w:numPr>
          <w:ilvl w:val="1"/>
          <w:numId w:val="33"/>
        </w:numPr>
        <w:jc w:val="both"/>
        <w:rPr>
          <w:rFonts w:ascii="Aptos" w:hAnsi="Aptos"/>
          <w:sz w:val="22"/>
          <w:szCs w:val="22"/>
        </w:rPr>
      </w:pPr>
      <w:r w:rsidRPr="001A60D6">
        <w:rPr>
          <w:rFonts w:ascii="Aptos" w:hAnsi="Aptos"/>
          <w:sz w:val="22"/>
          <w:szCs w:val="22"/>
        </w:rPr>
        <w:t>If not already done, a DNA sample should be obtained during the acute admission</w:t>
      </w:r>
    </w:p>
    <w:p w14:paraId="366211C5" w14:textId="77777777" w:rsidR="000C0911" w:rsidRPr="001A60D6" w:rsidRDefault="000C0911" w:rsidP="006D7CEC">
      <w:pPr>
        <w:pStyle w:val="FirstParagraph"/>
        <w:jc w:val="both"/>
        <w:rPr>
          <w:rFonts w:ascii="Aptos" w:hAnsi="Aptos"/>
          <w:sz w:val="22"/>
          <w:szCs w:val="22"/>
        </w:rPr>
      </w:pPr>
      <w:r w:rsidRPr="001A60D6">
        <w:rPr>
          <w:rFonts w:ascii="Aptos" w:hAnsi="Aptos"/>
          <w:sz w:val="22"/>
          <w:szCs w:val="22"/>
        </w:rPr>
        <w:t>OR</w:t>
      </w:r>
    </w:p>
    <w:p w14:paraId="6B508AE8" w14:textId="77777777" w:rsidR="000C0911" w:rsidRPr="001A60D6" w:rsidRDefault="000C0911" w:rsidP="000C0911">
      <w:pPr>
        <w:pStyle w:val="FirstParagraph"/>
        <w:numPr>
          <w:ilvl w:val="1"/>
          <w:numId w:val="33"/>
        </w:numPr>
        <w:rPr>
          <w:rFonts w:ascii="Aptos" w:hAnsi="Aptos"/>
          <w:sz w:val="22"/>
          <w:szCs w:val="22"/>
        </w:rPr>
      </w:pPr>
      <w:r w:rsidRPr="001A60D6">
        <w:rPr>
          <w:rFonts w:ascii="Aptos" w:hAnsi="Aptos"/>
          <w:sz w:val="22"/>
          <w:szCs w:val="22"/>
        </w:rPr>
        <w:t>A DNA sample should be obtained by appointment with the patient, in coordination with the clinical or research team caring for the case</w:t>
      </w:r>
    </w:p>
    <w:p w14:paraId="0BEDC60B" w14:textId="77777777" w:rsidR="000C0911" w:rsidRPr="001A60D6" w:rsidRDefault="000C0911" w:rsidP="000C0911">
      <w:pPr>
        <w:pStyle w:val="FirstParagraph"/>
        <w:rPr>
          <w:rFonts w:ascii="Aptos" w:hAnsi="Aptos"/>
          <w:sz w:val="22"/>
          <w:szCs w:val="22"/>
        </w:rPr>
      </w:pPr>
      <w:r w:rsidRPr="001A60D6">
        <w:rPr>
          <w:rFonts w:ascii="Aptos" w:hAnsi="Aptos"/>
          <w:sz w:val="22"/>
          <w:szCs w:val="22"/>
        </w:rPr>
        <w:t>OR</w:t>
      </w:r>
    </w:p>
    <w:p w14:paraId="3BD34CDE" w14:textId="77777777" w:rsidR="000C0911" w:rsidRPr="001A60D6" w:rsidRDefault="000C0911" w:rsidP="000C0911">
      <w:pPr>
        <w:pStyle w:val="FirstParagraph"/>
        <w:numPr>
          <w:ilvl w:val="1"/>
          <w:numId w:val="33"/>
        </w:numPr>
        <w:rPr>
          <w:rFonts w:ascii="Aptos" w:hAnsi="Aptos"/>
          <w:sz w:val="22"/>
          <w:szCs w:val="22"/>
        </w:rPr>
      </w:pPr>
      <w:r w:rsidRPr="001A60D6">
        <w:rPr>
          <w:rFonts w:ascii="Aptos" w:hAnsi="Aptos"/>
          <w:sz w:val="22"/>
          <w:szCs w:val="22"/>
        </w:rPr>
        <w:t>In the case of a retrospectively recruited patient who has been discharged from hospital, sampling can be obtained as outlined in step 3 below.</w:t>
      </w:r>
    </w:p>
    <w:p w14:paraId="3438B552" w14:textId="77777777" w:rsidR="000C0911" w:rsidRPr="001A60D6" w:rsidRDefault="000C0911" w:rsidP="000C0911">
      <w:pPr>
        <w:pStyle w:val="FirstParagraph"/>
        <w:numPr>
          <w:ilvl w:val="0"/>
          <w:numId w:val="43"/>
        </w:numPr>
        <w:rPr>
          <w:rFonts w:ascii="Aptos" w:hAnsi="Aptos"/>
          <w:sz w:val="22"/>
          <w:szCs w:val="22"/>
        </w:rPr>
      </w:pPr>
      <w:r w:rsidRPr="001A60D6">
        <w:rPr>
          <w:rFonts w:ascii="Aptos" w:hAnsi="Aptos"/>
          <w:sz w:val="22"/>
          <w:szCs w:val="22"/>
        </w:rPr>
        <w:t>If agreement to approach the participant or appropriate representative is granted by a public health team in contact with case/family</w:t>
      </w:r>
    </w:p>
    <w:p w14:paraId="7E90C801" w14:textId="77777777" w:rsidR="000C0911" w:rsidRPr="001A60D6" w:rsidRDefault="000C0911" w:rsidP="000C0911">
      <w:pPr>
        <w:pStyle w:val="FirstParagraph"/>
        <w:numPr>
          <w:ilvl w:val="1"/>
          <w:numId w:val="33"/>
        </w:numPr>
        <w:rPr>
          <w:rFonts w:ascii="Aptos" w:hAnsi="Aptos"/>
          <w:sz w:val="22"/>
          <w:szCs w:val="22"/>
        </w:rPr>
      </w:pPr>
      <w:r w:rsidRPr="001A60D6">
        <w:rPr>
          <w:rFonts w:ascii="Aptos" w:hAnsi="Aptos"/>
          <w:sz w:val="22"/>
          <w:szCs w:val="22"/>
        </w:rPr>
        <w:t>The participant or representative will be approached by the clinical or research team caring for case or by the central GenOMICC coordinating team to obtain consent:</w:t>
      </w:r>
    </w:p>
    <w:p w14:paraId="1355B791" w14:textId="77777777" w:rsidR="000C0911" w:rsidRPr="001A60D6" w:rsidRDefault="000C0911" w:rsidP="000C0911">
      <w:pPr>
        <w:pStyle w:val="FirstParagraph"/>
        <w:numPr>
          <w:ilvl w:val="2"/>
          <w:numId w:val="33"/>
        </w:numPr>
        <w:rPr>
          <w:rFonts w:ascii="Aptos" w:hAnsi="Aptos"/>
          <w:sz w:val="22"/>
          <w:szCs w:val="22"/>
        </w:rPr>
      </w:pPr>
      <w:r w:rsidRPr="001A60D6">
        <w:rPr>
          <w:rFonts w:ascii="Aptos" w:hAnsi="Aptos"/>
          <w:sz w:val="22"/>
          <w:szCs w:val="22"/>
        </w:rPr>
        <w:t>if possible, a blood sample kit will be sent by post to participant</w:t>
      </w:r>
    </w:p>
    <w:p w14:paraId="5A6FEA0D" w14:textId="77777777" w:rsidR="000C0911" w:rsidRPr="001A60D6" w:rsidRDefault="000C0911" w:rsidP="000C0911">
      <w:pPr>
        <w:pStyle w:val="FirstParagraph"/>
        <w:numPr>
          <w:ilvl w:val="3"/>
          <w:numId w:val="33"/>
        </w:numPr>
        <w:rPr>
          <w:rFonts w:ascii="Aptos" w:hAnsi="Aptos"/>
          <w:sz w:val="22"/>
          <w:szCs w:val="22"/>
        </w:rPr>
      </w:pPr>
      <w:r w:rsidRPr="001A60D6">
        <w:rPr>
          <w:rFonts w:ascii="Aptos" w:hAnsi="Aptos"/>
          <w:sz w:val="22"/>
          <w:szCs w:val="22"/>
        </w:rPr>
        <w:t>a blood sample will be obtained by research nurse in the patient’s home or another appropriate location</w:t>
      </w:r>
    </w:p>
    <w:p w14:paraId="1272CD4A" w14:textId="77777777" w:rsidR="000C0911" w:rsidRPr="001A60D6" w:rsidRDefault="000C0911" w:rsidP="000C0911">
      <w:pPr>
        <w:pStyle w:val="FirstParagraph"/>
        <w:rPr>
          <w:rFonts w:ascii="Aptos" w:hAnsi="Aptos"/>
          <w:sz w:val="22"/>
          <w:szCs w:val="22"/>
        </w:rPr>
      </w:pPr>
      <w:r w:rsidRPr="001A60D6">
        <w:rPr>
          <w:rFonts w:ascii="Aptos" w:hAnsi="Aptos"/>
          <w:sz w:val="22"/>
          <w:szCs w:val="22"/>
        </w:rPr>
        <w:t>OR</w:t>
      </w:r>
    </w:p>
    <w:p w14:paraId="593A5E2F" w14:textId="77777777" w:rsidR="000C0911" w:rsidRPr="001A60D6" w:rsidRDefault="000C0911" w:rsidP="000C0911">
      <w:pPr>
        <w:pStyle w:val="FirstParagraph"/>
        <w:numPr>
          <w:ilvl w:val="2"/>
          <w:numId w:val="33"/>
        </w:numPr>
        <w:rPr>
          <w:rFonts w:ascii="Aptos" w:hAnsi="Aptos"/>
          <w:sz w:val="22"/>
          <w:szCs w:val="22"/>
        </w:rPr>
      </w:pPr>
      <w:r w:rsidRPr="001A60D6">
        <w:rPr>
          <w:rFonts w:ascii="Aptos" w:hAnsi="Aptos"/>
          <w:sz w:val="22"/>
          <w:szCs w:val="22"/>
        </w:rPr>
        <w:t>a saliva kit will be sent by post to the participant,</w:t>
      </w:r>
    </w:p>
    <w:p w14:paraId="2F3C03CC" w14:textId="77777777" w:rsidR="000C0911" w:rsidRPr="001A60D6" w:rsidRDefault="000C0911" w:rsidP="000C0911">
      <w:pPr>
        <w:pStyle w:val="FirstParagraph"/>
        <w:numPr>
          <w:ilvl w:val="3"/>
          <w:numId w:val="33"/>
        </w:numPr>
        <w:rPr>
          <w:rFonts w:ascii="Aptos" w:hAnsi="Aptos"/>
          <w:sz w:val="22"/>
          <w:szCs w:val="22"/>
        </w:rPr>
      </w:pPr>
      <w:r w:rsidRPr="001A60D6">
        <w:rPr>
          <w:rFonts w:ascii="Aptos" w:hAnsi="Aptos"/>
          <w:sz w:val="22"/>
          <w:szCs w:val="22"/>
        </w:rPr>
        <w:t>a saliva sample will be obtained by the participant</w:t>
      </w:r>
    </w:p>
    <w:p w14:paraId="4D4412FB" w14:textId="787247E0" w:rsidR="00CD5241" w:rsidRPr="001A60D6" w:rsidRDefault="003A7A7F" w:rsidP="00CA6DA3">
      <w:pPr>
        <w:pStyle w:val="FirstParagraph"/>
        <w:numPr>
          <w:ilvl w:val="0"/>
          <w:numId w:val="43"/>
        </w:numPr>
        <w:jc w:val="both"/>
        <w:rPr>
          <w:rFonts w:ascii="Aptos" w:hAnsi="Aptos"/>
          <w:sz w:val="22"/>
          <w:szCs w:val="22"/>
        </w:rPr>
      </w:pPr>
      <w:r w:rsidRPr="001A60D6">
        <w:rPr>
          <w:rFonts w:ascii="Aptos" w:hAnsi="Aptos"/>
          <w:sz w:val="22"/>
          <w:szCs w:val="22"/>
        </w:rPr>
        <w:t>If</w:t>
      </w:r>
      <w:r w:rsidR="00F24F4E" w:rsidRPr="001A60D6">
        <w:rPr>
          <w:rFonts w:ascii="Aptos" w:hAnsi="Aptos"/>
          <w:sz w:val="22"/>
          <w:szCs w:val="22"/>
        </w:rPr>
        <w:t xml:space="preserve"> a</w:t>
      </w:r>
      <w:r w:rsidRPr="001A60D6">
        <w:rPr>
          <w:rFonts w:ascii="Aptos" w:hAnsi="Aptos"/>
          <w:sz w:val="22"/>
          <w:szCs w:val="22"/>
        </w:rPr>
        <w:t xml:space="preserve"> participant has expressed willingness to participate directly to the central</w:t>
      </w:r>
      <w:r w:rsidR="002F1607" w:rsidRPr="001A60D6">
        <w:rPr>
          <w:rFonts w:ascii="Aptos" w:hAnsi="Aptos"/>
          <w:sz w:val="22"/>
          <w:szCs w:val="22"/>
        </w:rPr>
        <w:t xml:space="preserve"> GenOMICC coordinating</w:t>
      </w:r>
      <w:r w:rsidRPr="001A60D6">
        <w:rPr>
          <w:rFonts w:ascii="Aptos" w:hAnsi="Aptos"/>
          <w:sz w:val="22"/>
          <w:szCs w:val="22"/>
        </w:rPr>
        <w:t xml:space="preserve"> team (for example, as is commonly the case for participants in the control group) they will be contacted by the central team and samples will be obtained as described in </w:t>
      </w:r>
      <w:r w:rsidR="009F0886" w:rsidRPr="001A60D6">
        <w:rPr>
          <w:rFonts w:ascii="Aptos" w:hAnsi="Aptos"/>
          <w:sz w:val="22"/>
          <w:szCs w:val="22"/>
        </w:rPr>
        <w:t>3 above.</w:t>
      </w:r>
    </w:p>
    <w:p w14:paraId="64997A50" w14:textId="77777777" w:rsidR="00C6525C" w:rsidRPr="001A60D6" w:rsidRDefault="00E202C0" w:rsidP="009739DD">
      <w:pPr>
        <w:pStyle w:val="Heading3"/>
        <w:jc w:val="both"/>
        <w:rPr>
          <w:rFonts w:ascii="Aptos" w:hAnsi="Aptos"/>
          <w:color w:val="000000" w:themeColor="text1"/>
        </w:rPr>
      </w:pPr>
      <w:bookmarkStart w:id="60" w:name="_Toc188625313"/>
      <w:r w:rsidRPr="1B9F46DA">
        <w:rPr>
          <w:rFonts w:ascii="Aptos" w:hAnsi="Aptos"/>
          <w:color w:val="000000" w:themeColor="text1"/>
        </w:rPr>
        <w:t>ENrolment procedures for patients after death</w:t>
      </w:r>
      <w:bookmarkEnd w:id="60"/>
    </w:p>
    <w:p w14:paraId="6EF644EC" w14:textId="1D4DA5B4" w:rsidR="00C6525C" w:rsidRPr="001A60D6" w:rsidRDefault="00573AE3" w:rsidP="009739DD">
      <w:pPr>
        <w:pStyle w:val="BodyText"/>
        <w:jc w:val="both"/>
        <w:rPr>
          <w:rFonts w:ascii="Aptos" w:hAnsi="Aptos"/>
          <w:color w:val="000000" w:themeColor="text1"/>
          <w:sz w:val="22"/>
          <w:szCs w:val="22"/>
        </w:rPr>
      </w:pPr>
      <w:r w:rsidRPr="001A60D6">
        <w:rPr>
          <w:rFonts w:ascii="Aptos" w:hAnsi="Aptos"/>
          <w:sz w:val="22"/>
          <w:szCs w:val="22"/>
        </w:rPr>
        <w:t>In some cases, discarded blood samples from routine clinical sampling are stored in hospital laboratories after death.</w:t>
      </w:r>
      <w:r w:rsidR="00666725" w:rsidRPr="001A60D6">
        <w:rPr>
          <w:rFonts w:ascii="Aptos" w:hAnsi="Aptos"/>
          <w:sz w:val="22"/>
          <w:szCs w:val="22"/>
        </w:rPr>
        <w:t xml:space="preserve"> Since these cases are, by definition, the most susceptible</w:t>
      </w:r>
      <w:r w:rsidR="001F11FB" w:rsidRPr="001A60D6">
        <w:rPr>
          <w:rFonts w:ascii="Aptos" w:hAnsi="Aptos"/>
          <w:sz w:val="22"/>
          <w:szCs w:val="22"/>
        </w:rPr>
        <w:t xml:space="preserve"> to a given disease, they are the most important group to include in a genetic study. </w:t>
      </w:r>
      <w:r w:rsidR="00917FB2" w:rsidRPr="001A60D6">
        <w:rPr>
          <w:rFonts w:ascii="Aptos" w:hAnsi="Aptos"/>
          <w:sz w:val="22"/>
          <w:szCs w:val="22"/>
        </w:rPr>
        <w:t xml:space="preserve">In almost all cases, the patient will have been recruited to GenOMICC during life, either by direct </w:t>
      </w:r>
      <w:r w:rsidR="00917FB2" w:rsidRPr="001A60D6">
        <w:rPr>
          <w:rFonts w:ascii="Aptos" w:hAnsi="Aptos"/>
          <w:color w:val="000000" w:themeColor="text1"/>
          <w:sz w:val="22"/>
          <w:szCs w:val="22"/>
        </w:rPr>
        <w:t xml:space="preserve">consent from the patient or </w:t>
      </w:r>
      <w:r w:rsidR="00E05161" w:rsidRPr="001A60D6">
        <w:rPr>
          <w:rFonts w:ascii="Aptos" w:hAnsi="Aptos"/>
          <w:color w:val="000000" w:themeColor="text1"/>
          <w:sz w:val="22"/>
          <w:szCs w:val="22"/>
        </w:rPr>
        <w:t xml:space="preserve">through a representative. </w:t>
      </w:r>
      <w:r w:rsidR="003B2F77" w:rsidRPr="001A60D6">
        <w:rPr>
          <w:rFonts w:ascii="Aptos" w:hAnsi="Aptos"/>
          <w:color w:val="000000" w:themeColor="text1"/>
          <w:sz w:val="22"/>
          <w:szCs w:val="22"/>
        </w:rPr>
        <w:t xml:space="preserve">However, in </w:t>
      </w:r>
      <w:r w:rsidR="00D73D63" w:rsidRPr="001A60D6">
        <w:rPr>
          <w:rFonts w:ascii="Aptos" w:hAnsi="Aptos"/>
          <w:color w:val="000000" w:themeColor="text1"/>
          <w:sz w:val="22"/>
          <w:szCs w:val="22"/>
        </w:rPr>
        <w:t>rare</w:t>
      </w:r>
      <w:r w:rsidR="003B2F77" w:rsidRPr="001A60D6">
        <w:rPr>
          <w:rFonts w:ascii="Aptos" w:hAnsi="Aptos"/>
          <w:color w:val="000000" w:themeColor="text1"/>
          <w:sz w:val="22"/>
          <w:szCs w:val="22"/>
        </w:rPr>
        <w:t xml:space="preserve"> cases, </w:t>
      </w:r>
      <w:r w:rsidR="00FF772D" w:rsidRPr="001A60D6">
        <w:rPr>
          <w:rFonts w:ascii="Aptos" w:hAnsi="Aptos"/>
          <w:color w:val="000000" w:themeColor="text1"/>
          <w:sz w:val="22"/>
          <w:szCs w:val="22"/>
        </w:rPr>
        <w:t xml:space="preserve">in which </w:t>
      </w:r>
      <w:r w:rsidR="003B2F77" w:rsidRPr="001A60D6">
        <w:rPr>
          <w:rFonts w:ascii="Aptos" w:hAnsi="Aptos"/>
          <w:color w:val="000000" w:themeColor="text1"/>
          <w:sz w:val="22"/>
          <w:szCs w:val="22"/>
        </w:rPr>
        <w:t xml:space="preserve">death occurs within hours of presentation to critical care </w:t>
      </w:r>
      <w:r w:rsidR="00E44A7E" w:rsidRPr="001A60D6">
        <w:rPr>
          <w:rFonts w:ascii="Aptos" w:hAnsi="Aptos"/>
          <w:color w:val="000000" w:themeColor="text1"/>
          <w:sz w:val="22"/>
          <w:szCs w:val="22"/>
        </w:rPr>
        <w:t>or a patient could not be recruited during life for some other reason,</w:t>
      </w:r>
      <w:r w:rsidR="007173D4" w:rsidRPr="001A60D6">
        <w:rPr>
          <w:rFonts w:ascii="Aptos" w:hAnsi="Aptos"/>
          <w:color w:val="000000" w:themeColor="text1"/>
          <w:sz w:val="22"/>
          <w:szCs w:val="22"/>
        </w:rPr>
        <w:t xml:space="preserve"> it </w:t>
      </w:r>
      <w:r w:rsidR="008E2B8D" w:rsidRPr="001A60D6">
        <w:rPr>
          <w:rFonts w:ascii="Aptos" w:hAnsi="Aptos"/>
          <w:color w:val="000000" w:themeColor="text1"/>
          <w:sz w:val="22"/>
          <w:szCs w:val="22"/>
        </w:rPr>
        <w:t>may be necessary to ask the grieving relatives of a recently-deceased patient for consent to participate</w:t>
      </w:r>
      <w:r w:rsidR="00E83D21" w:rsidRPr="001A60D6">
        <w:rPr>
          <w:rFonts w:ascii="Aptos" w:hAnsi="Aptos"/>
          <w:color w:val="000000" w:themeColor="text1"/>
          <w:sz w:val="22"/>
          <w:szCs w:val="22"/>
        </w:rPr>
        <w:t xml:space="preserve"> in line with the </w:t>
      </w:r>
      <w:r w:rsidR="00E83D21" w:rsidRPr="001A60D6">
        <w:rPr>
          <w:rFonts w:ascii="Aptos" w:hAnsi="Aptos"/>
          <w:color w:val="000000" w:themeColor="text1"/>
          <w:sz w:val="22"/>
          <w:szCs w:val="22"/>
          <w:highlight w:val="yellow"/>
        </w:rPr>
        <w:t>Human Tissue Act 2004 (in England, Wales and Northern Ireland) and the Human Tissue (Scotland) Act 2006</w:t>
      </w:r>
      <w:r w:rsidR="00D90341" w:rsidRPr="001A60D6">
        <w:rPr>
          <w:rFonts w:ascii="Aptos" w:hAnsi="Aptos"/>
          <w:color w:val="000000" w:themeColor="text1"/>
          <w:sz w:val="22"/>
          <w:szCs w:val="22"/>
          <w:highlight w:val="yellow"/>
        </w:rPr>
        <w:t xml:space="preserve"> </w:t>
      </w:r>
      <w:r w:rsidR="00D90341" w:rsidRPr="001A60D6">
        <w:rPr>
          <w:rFonts w:ascii="Aptos" w:hAnsi="Aptos"/>
          <w:color w:val="000000" w:themeColor="text1"/>
          <w:sz w:val="22"/>
          <w:szCs w:val="22"/>
        </w:rPr>
        <w:t>or according to the local legal requirements for your centre.</w:t>
      </w:r>
    </w:p>
    <w:p w14:paraId="78BF0738" w14:textId="32106C76" w:rsidR="001002E9" w:rsidRPr="001A60D6" w:rsidRDefault="001002E9" w:rsidP="00F3569A">
      <w:pPr>
        <w:pStyle w:val="BodyText"/>
        <w:jc w:val="both"/>
        <w:rPr>
          <w:rFonts w:ascii="Aptos" w:hAnsi="Aptos"/>
          <w:sz w:val="22"/>
          <w:szCs w:val="22"/>
        </w:rPr>
      </w:pPr>
      <w:r w:rsidRPr="001A60D6">
        <w:rPr>
          <w:rFonts w:ascii="Aptos" w:hAnsi="Aptos"/>
          <w:color w:val="000000" w:themeColor="text1"/>
          <w:sz w:val="22"/>
          <w:szCs w:val="22"/>
        </w:rPr>
        <w:t>Where possible this will be done in person. Critical care clinicians and nurses are very accustomed to dealing with distraught relatives, and in all cases the approach will be made by an experienced clinician who will handle the discussion with the utmost sensitivi</w:t>
      </w:r>
      <w:r w:rsidR="008B344D" w:rsidRPr="001A60D6">
        <w:rPr>
          <w:rFonts w:ascii="Aptos" w:hAnsi="Aptos"/>
          <w:color w:val="000000" w:themeColor="text1"/>
          <w:sz w:val="22"/>
          <w:szCs w:val="22"/>
        </w:rPr>
        <w:t>t</w:t>
      </w:r>
      <w:r w:rsidRPr="001A60D6">
        <w:rPr>
          <w:rFonts w:ascii="Aptos" w:hAnsi="Aptos"/>
          <w:color w:val="000000" w:themeColor="text1"/>
          <w:sz w:val="22"/>
          <w:szCs w:val="22"/>
        </w:rPr>
        <w:t>y and care.</w:t>
      </w:r>
      <w:r w:rsidR="005E0E1B" w:rsidRPr="001A60D6">
        <w:rPr>
          <w:rFonts w:ascii="Aptos" w:hAnsi="Aptos"/>
          <w:color w:val="000000" w:themeColor="text1"/>
          <w:sz w:val="22"/>
          <w:szCs w:val="22"/>
        </w:rPr>
        <w:t xml:space="preserve"> </w:t>
      </w:r>
      <w:r w:rsidR="00306100" w:rsidRPr="001A60D6">
        <w:rPr>
          <w:rFonts w:ascii="Aptos" w:hAnsi="Aptos"/>
          <w:color w:val="000000" w:themeColor="text1"/>
          <w:sz w:val="22"/>
          <w:szCs w:val="22"/>
        </w:rPr>
        <w:t>T</w:t>
      </w:r>
      <w:r w:rsidR="009C121F" w:rsidRPr="001A60D6">
        <w:rPr>
          <w:rFonts w:ascii="Aptos" w:hAnsi="Aptos"/>
          <w:color w:val="000000" w:themeColor="text1"/>
          <w:sz w:val="22"/>
          <w:szCs w:val="22"/>
        </w:rPr>
        <w:t>he patient</w:t>
      </w:r>
      <w:r w:rsidR="00EB3D9B" w:rsidRPr="001A60D6">
        <w:rPr>
          <w:rFonts w:ascii="Aptos" w:hAnsi="Aptos"/>
          <w:color w:val="000000" w:themeColor="text1"/>
          <w:sz w:val="22"/>
          <w:szCs w:val="22"/>
        </w:rPr>
        <w:t>’</w:t>
      </w:r>
      <w:r w:rsidR="009C121F" w:rsidRPr="001A60D6">
        <w:rPr>
          <w:rFonts w:ascii="Aptos" w:hAnsi="Aptos"/>
          <w:color w:val="000000" w:themeColor="text1"/>
          <w:sz w:val="22"/>
          <w:szCs w:val="22"/>
        </w:rPr>
        <w:t>s next</w:t>
      </w:r>
      <w:r w:rsidR="009C121F" w:rsidRPr="001A60D6">
        <w:rPr>
          <w:rFonts w:ascii="Aptos" w:hAnsi="Aptos"/>
          <w:sz w:val="22"/>
          <w:szCs w:val="22"/>
        </w:rPr>
        <w:t xml:space="preserve"> of kin</w:t>
      </w:r>
      <w:r w:rsidR="00830672" w:rsidRPr="001A60D6">
        <w:rPr>
          <w:rFonts w:ascii="Aptos" w:hAnsi="Aptos"/>
          <w:sz w:val="22"/>
          <w:szCs w:val="22"/>
        </w:rPr>
        <w:t>,</w:t>
      </w:r>
      <w:r w:rsidR="009C121F" w:rsidRPr="001A60D6">
        <w:rPr>
          <w:rFonts w:ascii="Aptos" w:hAnsi="Aptos"/>
          <w:sz w:val="22"/>
          <w:szCs w:val="22"/>
        </w:rPr>
        <w:t xml:space="preserve"> </w:t>
      </w:r>
      <w:r w:rsidR="00B41ED5" w:rsidRPr="001A60D6">
        <w:rPr>
          <w:rFonts w:ascii="Aptos" w:hAnsi="Aptos"/>
          <w:sz w:val="22"/>
          <w:szCs w:val="22"/>
        </w:rPr>
        <w:t xml:space="preserve">or another appropriate person to represent the wishes of the deceased, will </w:t>
      </w:r>
      <w:r w:rsidR="00306100" w:rsidRPr="001A60D6">
        <w:rPr>
          <w:rFonts w:ascii="Aptos" w:hAnsi="Aptos"/>
          <w:sz w:val="22"/>
          <w:szCs w:val="22"/>
        </w:rPr>
        <w:t xml:space="preserve">be asked to consent on behalf of the patient. </w:t>
      </w:r>
      <w:r w:rsidR="00630108" w:rsidRPr="001A60D6">
        <w:rPr>
          <w:rFonts w:ascii="Aptos" w:hAnsi="Aptos"/>
          <w:sz w:val="22"/>
          <w:szCs w:val="22"/>
        </w:rPr>
        <w:t xml:space="preserve">In some </w:t>
      </w:r>
      <w:r w:rsidR="00E83D21" w:rsidRPr="001A60D6">
        <w:rPr>
          <w:rFonts w:ascii="Aptos" w:hAnsi="Aptos"/>
          <w:sz w:val="22"/>
          <w:szCs w:val="22"/>
        </w:rPr>
        <w:t>cases,</w:t>
      </w:r>
      <w:r w:rsidR="00630108" w:rsidRPr="001A60D6">
        <w:rPr>
          <w:rFonts w:ascii="Aptos" w:hAnsi="Aptos"/>
          <w:sz w:val="22"/>
          <w:szCs w:val="22"/>
        </w:rPr>
        <w:t xml:space="preserve"> contact may be made by telephone</w:t>
      </w:r>
      <w:r w:rsidR="005D7E29" w:rsidRPr="001A60D6">
        <w:rPr>
          <w:rFonts w:ascii="Aptos" w:hAnsi="Aptos"/>
          <w:sz w:val="22"/>
          <w:szCs w:val="22"/>
        </w:rPr>
        <w:t xml:space="preserve">. If the </w:t>
      </w:r>
      <w:r w:rsidR="00D5213B" w:rsidRPr="001A60D6">
        <w:rPr>
          <w:rFonts w:ascii="Aptos" w:hAnsi="Aptos"/>
          <w:sz w:val="22"/>
          <w:szCs w:val="22"/>
        </w:rPr>
        <w:t>request is declined, this will be clearly recorded in the local site file in order to ensure that no further contact is attempted.</w:t>
      </w:r>
    </w:p>
    <w:p w14:paraId="3B1DB100" w14:textId="4F70F5C3" w:rsidR="008C196E" w:rsidRPr="001A60D6" w:rsidRDefault="00E00EC5" w:rsidP="00F3569A">
      <w:pPr>
        <w:pStyle w:val="BodyText"/>
        <w:jc w:val="both"/>
        <w:rPr>
          <w:rFonts w:ascii="Aptos" w:hAnsi="Aptos"/>
          <w:sz w:val="22"/>
          <w:szCs w:val="22"/>
        </w:rPr>
      </w:pPr>
      <w:r w:rsidRPr="00261965">
        <w:rPr>
          <w:rFonts w:ascii="Aptos" w:hAnsi="Aptos"/>
          <w:sz w:val="22"/>
          <w:szCs w:val="22"/>
          <w:highlight w:val="yellow"/>
        </w:rPr>
        <w:t xml:space="preserve">We may in </w:t>
      </w:r>
      <w:r w:rsidR="00482B7E" w:rsidRPr="00261965">
        <w:rPr>
          <w:rFonts w:ascii="Aptos" w:hAnsi="Aptos"/>
          <w:sz w:val="22"/>
          <w:szCs w:val="22"/>
          <w:highlight w:val="yellow"/>
        </w:rPr>
        <w:t xml:space="preserve">extraordinary cases recruit patients who have </w:t>
      </w:r>
      <w:r w:rsidR="008C196E" w:rsidRPr="00261965">
        <w:rPr>
          <w:rFonts w:ascii="Aptos" w:hAnsi="Aptos"/>
          <w:sz w:val="22"/>
          <w:szCs w:val="22"/>
          <w:highlight w:val="yellow"/>
        </w:rPr>
        <w:t>died. The programme is able</w:t>
      </w:r>
      <w:r w:rsidR="005A1576" w:rsidRPr="00261965">
        <w:rPr>
          <w:rFonts w:ascii="Aptos" w:hAnsi="Aptos"/>
          <w:sz w:val="22"/>
          <w:szCs w:val="22"/>
          <w:highlight w:val="yellow"/>
        </w:rPr>
        <w:t xml:space="preserve"> to</w:t>
      </w:r>
      <w:r w:rsidR="008C196E" w:rsidRPr="00261965">
        <w:rPr>
          <w:rFonts w:ascii="Aptos" w:hAnsi="Aptos"/>
          <w:sz w:val="22"/>
          <w:szCs w:val="22"/>
          <w:highlight w:val="yellow"/>
        </w:rPr>
        <w:t xml:space="preserve"> study the genetic factors that cause people to succumb from </w:t>
      </w:r>
      <w:r w:rsidR="00264E40" w:rsidRPr="00261965">
        <w:rPr>
          <w:rFonts w:ascii="Aptos" w:hAnsi="Aptos"/>
          <w:sz w:val="22"/>
          <w:szCs w:val="22"/>
          <w:highlight w:val="yellow"/>
        </w:rPr>
        <w:t xml:space="preserve">serious and sudden outbreaks such as </w:t>
      </w:r>
      <w:r w:rsidR="00A02728" w:rsidRPr="00261965">
        <w:rPr>
          <w:rFonts w:ascii="Aptos" w:hAnsi="Aptos"/>
          <w:sz w:val="22"/>
          <w:szCs w:val="22"/>
          <w:highlight w:val="yellow"/>
        </w:rPr>
        <w:t>COVID</w:t>
      </w:r>
      <w:r w:rsidR="00922548" w:rsidRPr="00261965">
        <w:rPr>
          <w:rFonts w:ascii="Aptos" w:hAnsi="Aptos"/>
          <w:sz w:val="22"/>
          <w:szCs w:val="22"/>
          <w:highlight w:val="yellow"/>
        </w:rPr>
        <w:t>-19</w:t>
      </w:r>
      <w:r w:rsidR="008C196E" w:rsidRPr="00261965">
        <w:rPr>
          <w:rFonts w:ascii="Aptos" w:hAnsi="Aptos"/>
          <w:sz w:val="22"/>
          <w:szCs w:val="22"/>
          <w:highlight w:val="yellow"/>
        </w:rPr>
        <w:t xml:space="preserve"> despite intensive care as well as those that cause people </w:t>
      </w:r>
      <w:r w:rsidR="00DE2F0A" w:rsidRPr="00261965">
        <w:rPr>
          <w:rFonts w:ascii="Aptos" w:hAnsi="Aptos"/>
          <w:sz w:val="22"/>
          <w:szCs w:val="22"/>
          <w:highlight w:val="yellow"/>
        </w:rPr>
        <w:t xml:space="preserve">to </w:t>
      </w:r>
      <w:r w:rsidR="008C196E" w:rsidRPr="00261965">
        <w:rPr>
          <w:rFonts w:ascii="Aptos" w:hAnsi="Aptos"/>
          <w:sz w:val="22"/>
          <w:szCs w:val="22"/>
          <w:highlight w:val="yellow"/>
        </w:rPr>
        <w:t>require intensive care but survive</w:t>
      </w:r>
      <w:r w:rsidR="00DE2F0A" w:rsidRPr="00261965">
        <w:rPr>
          <w:rFonts w:ascii="Aptos" w:hAnsi="Aptos"/>
          <w:sz w:val="22"/>
          <w:szCs w:val="22"/>
          <w:highlight w:val="yellow"/>
        </w:rPr>
        <w:t>.</w:t>
      </w:r>
      <w:r w:rsidR="008C196E" w:rsidRPr="21B2E2C1">
        <w:rPr>
          <w:rFonts w:ascii="Aptos" w:hAnsi="Aptos"/>
          <w:sz w:val="22"/>
          <w:szCs w:val="22"/>
        </w:rPr>
        <w:t xml:space="preserve"> </w:t>
      </w:r>
      <w:r w:rsidR="00261965" w:rsidRPr="00261965">
        <w:rPr>
          <w:rFonts w:ascii="Aptos" w:hAnsi="Aptos"/>
          <w:sz w:val="22"/>
          <w:szCs w:val="22"/>
          <w:highlight w:val="yellow"/>
        </w:rPr>
        <w:t>[Insert local regulations or remove if not applicable]</w:t>
      </w:r>
    </w:p>
    <w:p w14:paraId="5384E85A" w14:textId="68168995" w:rsidR="006378E9" w:rsidRPr="001A60D6" w:rsidRDefault="006378E9" w:rsidP="006378E9">
      <w:pPr>
        <w:pStyle w:val="Heading3"/>
        <w:rPr>
          <w:rFonts w:ascii="Aptos" w:hAnsi="Aptos"/>
          <w:color w:val="000000" w:themeColor="text1"/>
        </w:rPr>
      </w:pPr>
      <w:bookmarkStart w:id="61" w:name="_Toc188625314"/>
      <w:r w:rsidRPr="1B9F46DA">
        <w:rPr>
          <w:rFonts w:ascii="Aptos" w:hAnsi="Aptos"/>
          <w:color w:val="000000" w:themeColor="text1"/>
        </w:rPr>
        <w:t xml:space="preserve">Enrolment procedures for </w:t>
      </w:r>
      <w:r w:rsidR="009739DD" w:rsidRPr="1B9F46DA">
        <w:rPr>
          <w:rFonts w:ascii="Aptos" w:hAnsi="Aptos"/>
          <w:color w:val="000000" w:themeColor="text1"/>
        </w:rPr>
        <w:t>RETROSPECTIVELY RECRUITED</w:t>
      </w:r>
      <w:r w:rsidRPr="1B9F46DA">
        <w:rPr>
          <w:rFonts w:ascii="Aptos" w:hAnsi="Aptos"/>
          <w:color w:val="000000" w:themeColor="text1"/>
        </w:rPr>
        <w:t xml:space="preserve"> patients</w:t>
      </w:r>
      <w:bookmarkEnd w:id="61"/>
    </w:p>
    <w:p w14:paraId="2CD2AC06" w14:textId="1326E0DE" w:rsidR="006378E9" w:rsidRPr="001A60D6" w:rsidRDefault="006378E9" w:rsidP="009739DD">
      <w:pPr>
        <w:pStyle w:val="BodyText"/>
        <w:jc w:val="both"/>
        <w:rPr>
          <w:rFonts w:ascii="Aptos" w:hAnsi="Aptos"/>
          <w:color w:val="000000" w:themeColor="text1"/>
          <w:sz w:val="22"/>
          <w:szCs w:val="22"/>
        </w:rPr>
      </w:pPr>
      <w:r w:rsidRPr="1B9F46DA">
        <w:rPr>
          <w:rFonts w:ascii="Aptos" w:hAnsi="Aptos"/>
          <w:color w:val="000000" w:themeColor="text1"/>
          <w:sz w:val="22"/>
          <w:szCs w:val="22"/>
        </w:rPr>
        <w:t>Where patients have met the inclusion criteria for this study, but have recovered and been discharged, they remain eligible for recruitment to GenOMICC. Such patients may be approached directly by a member of the clinical team in the hospital or intensive care unit who cared for them during their primary illness</w:t>
      </w:r>
      <w:r w:rsidR="00A60BF4" w:rsidRPr="1B9F46DA">
        <w:rPr>
          <w:rFonts w:ascii="Aptos" w:hAnsi="Aptos"/>
          <w:color w:val="000000" w:themeColor="text1"/>
          <w:sz w:val="22"/>
          <w:szCs w:val="22"/>
        </w:rPr>
        <w:t xml:space="preserve"> (including affiliated research staff</w:t>
      </w:r>
      <w:r w:rsidR="6A896BA4" w:rsidRPr="1B9F46DA">
        <w:rPr>
          <w:rFonts w:ascii="Aptos" w:hAnsi="Aptos"/>
          <w:color w:val="000000" w:themeColor="text1"/>
          <w:sz w:val="22"/>
          <w:szCs w:val="22"/>
        </w:rPr>
        <w:t>) and</w:t>
      </w:r>
      <w:r w:rsidRPr="1B9F46DA">
        <w:rPr>
          <w:rFonts w:ascii="Aptos" w:hAnsi="Aptos"/>
          <w:color w:val="000000" w:themeColor="text1"/>
          <w:sz w:val="22"/>
          <w:szCs w:val="22"/>
        </w:rPr>
        <w:t xml:space="preserve"> hence would reasonably be expected to have knowledge of the patient’s eligibility for the study. </w:t>
      </w:r>
    </w:p>
    <w:p w14:paraId="291E282A" w14:textId="77777777" w:rsidR="006378E9" w:rsidRPr="001A60D6" w:rsidRDefault="006378E9" w:rsidP="009739DD">
      <w:pPr>
        <w:pStyle w:val="BodyText"/>
        <w:jc w:val="both"/>
        <w:rPr>
          <w:rFonts w:ascii="Aptos" w:hAnsi="Aptos"/>
          <w:color w:val="000000" w:themeColor="text1"/>
          <w:sz w:val="22"/>
          <w:szCs w:val="22"/>
        </w:rPr>
      </w:pPr>
      <w:r w:rsidRPr="001A60D6">
        <w:rPr>
          <w:rFonts w:ascii="Aptos" w:hAnsi="Aptos"/>
          <w:color w:val="000000" w:themeColor="text1"/>
          <w:sz w:val="22"/>
          <w:szCs w:val="22"/>
        </w:rPr>
        <w:t>If the patient presents for out-patient care or attends the hospital for any other reason, they may be approached in person.</w:t>
      </w:r>
    </w:p>
    <w:p w14:paraId="04F79FC3" w14:textId="77777777" w:rsidR="006378E9" w:rsidRPr="001A60D6" w:rsidRDefault="006378E9" w:rsidP="009739DD">
      <w:pPr>
        <w:pStyle w:val="BodyText"/>
        <w:jc w:val="both"/>
        <w:rPr>
          <w:rFonts w:ascii="Aptos" w:hAnsi="Aptos"/>
          <w:color w:val="000000" w:themeColor="text1"/>
          <w:sz w:val="22"/>
          <w:szCs w:val="22"/>
        </w:rPr>
      </w:pPr>
      <w:r w:rsidRPr="001A60D6">
        <w:rPr>
          <w:rFonts w:ascii="Aptos" w:hAnsi="Aptos"/>
          <w:color w:val="000000" w:themeColor="text1"/>
          <w:sz w:val="22"/>
          <w:szCs w:val="22"/>
        </w:rPr>
        <w:t>Otherwise, the patient will be contacted by mail, telephone or email by a member of the clinical team who cared for them</w:t>
      </w:r>
      <w:r w:rsidR="003A0962" w:rsidRPr="001A60D6">
        <w:rPr>
          <w:rFonts w:ascii="Aptos" w:hAnsi="Aptos"/>
          <w:color w:val="000000" w:themeColor="text1"/>
          <w:sz w:val="22"/>
          <w:szCs w:val="22"/>
        </w:rPr>
        <w:t xml:space="preserve"> (including affiliated research staff)</w:t>
      </w:r>
      <w:r w:rsidRPr="001A60D6">
        <w:rPr>
          <w:rFonts w:ascii="Aptos" w:hAnsi="Aptos"/>
          <w:color w:val="000000" w:themeColor="text1"/>
          <w:sz w:val="22"/>
          <w:szCs w:val="22"/>
        </w:rPr>
        <w:t>. If the patient refuses, this will be clearly recorded in the site file at the recruiting site to ensure that the patient is not contacted again.</w:t>
      </w:r>
    </w:p>
    <w:p w14:paraId="2AB8C0C7" w14:textId="77777777" w:rsidR="006378E9" w:rsidRPr="001A60D6" w:rsidRDefault="0083254E" w:rsidP="009739DD">
      <w:pPr>
        <w:pStyle w:val="Heading3"/>
        <w:jc w:val="both"/>
        <w:rPr>
          <w:rFonts w:ascii="Aptos" w:hAnsi="Aptos"/>
          <w:color w:val="000000" w:themeColor="text1"/>
        </w:rPr>
      </w:pPr>
      <w:bookmarkStart w:id="62" w:name="_Toc188625315"/>
      <w:r w:rsidRPr="1B9F46DA">
        <w:rPr>
          <w:rFonts w:ascii="Aptos" w:hAnsi="Aptos"/>
          <w:color w:val="000000" w:themeColor="text1"/>
        </w:rPr>
        <w:t>Enrolment procedures for</w:t>
      </w:r>
      <w:r w:rsidR="006378E9" w:rsidRPr="1B9F46DA">
        <w:rPr>
          <w:rFonts w:ascii="Aptos" w:hAnsi="Aptos"/>
          <w:color w:val="000000" w:themeColor="text1"/>
        </w:rPr>
        <w:t xml:space="preserve"> volunteers</w:t>
      </w:r>
      <w:r w:rsidRPr="1B9F46DA">
        <w:rPr>
          <w:rFonts w:ascii="Aptos" w:hAnsi="Aptos"/>
          <w:color w:val="000000" w:themeColor="text1"/>
        </w:rPr>
        <w:t xml:space="preserve"> from the community</w:t>
      </w:r>
      <w:bookmarkEnd w:id="62"/>
    </w:p>
    <w:p w14:paraId="0CC849F8" w14:textId="04967982" w:rsidR="008F065A" w:rsidRPr="001A60D6" w:rsidRDefault="00481D0C" w:rsidP="009739DD">
      <w:pPr>
        <w:jc w:val="both"/>
        <w:rPr>
          <w:rFonts w:ascii="Aptos" w:hAnsi="Aptos"/>
          <w:sz w:val="22"/>
          <w:szCs w:val="22"/>
        </w:rPr>
      </w:pPr>
      <w:r w:rsidRPr="1B9F46DA">
        <w:rPr>
          <w:rFonts w:ascii="Aptos" w:hAnsi="Aptos"/>
          <w:sz w:val="22"/>
          <w:szCs w:val="22"/>
        </w:rPr>
        <w:t xml:space="preserve">Eligible </w:t>
      </w:r>
      <w:r w:rsidR="007B5699" w:rsidRPr="1B9F46DA">
        <w:rPr>
          <w:rFonts w:ascii="Aptos" w:hAnsi="Aptos"/>
          <w:sz w:val="22"/>
          <w:szCs w:val="22"/>
        </w:rPr>
        <w:t>volunteers</w:t>
      </w:r>
      <w:r w:rsidRPr="1B9F46DA">
        <w:rPr>
          <w:rFonts w:ascii="Aptos" w:hAnsi="Aptos"/>
          <w:sz w:val="22"/>
          <w:szCs w:val="22"/>
        </w:rPr>
        <w:t xml:space="preserve"> </w:t>
      </w:r>
      <w:r w:rsidR="00EB3D9B" w:rsidRPr="1B9F46DA">
        <w:rPr>
          <w:rFonts w:ascii="Aptos" w:hAnsi="Aptos"/>
          <w:sz w:val="22"/>
          <w:szCs w:val="22"/>
        </w:rPr>
        <w:t xml:space="preserve">(including individuals </w:t>
      </w:r>
      <w:r w:rsidR="00085026" w:rsidRPr="1B9F46DA">
        <w:rPr>
          <w:rFonts w:ascii="Aptos" w:hAnsi="Aptos"/>
          <w:sz w:val="22"/>
          <w:szCs w:val="22"/>
        </w:rPr>
        <w:t xml:space="preserve">for the control or comparison groups, such as individuals </w:t>
      </w:r>
      <w:r w:rsidR="00EB3D9B" w:rsidRPr="1B9F46DA">
        <w:rPr>
          <w:rFonts w:ascii="Aptos" w:hAnsi="Aptos"/>
          <w:sz w:val="22"/>
          <w:szCs w:val="22"/>
        </w:rPr>
        <w:t>with non-severe COVID-19</w:t>
      </w:r>
      <w:r w:rsidR="00085026" w:rsidRPr="1B9F46DA">
        <w:rPr>
          <w:rFonts w:ascii="Aptos" w:hAnsi="Aptos"/>
          <w:sz w:val="22"/>
          <w:szCs w:val="22"/>
        </w:rPr>
        <w:t>, or other individuals who meet the entry criteria but have not yet been included in the study</w:t>
      </w:r>
      <w:r w:rsidR="00EB3D9B" w:rsidRPr="1B9F46DA">
        <w:rPr>
          <w:rFonts w:ascii="Aptos" w:hAnsi="Aptos"/>
          <w:sz w:val="22"/>
          <w:szCs w:val="22"/>
        </w:rPr>
        <w:t xml:space="preserve">) </w:t>
      </w:r>
      <w:r w:rsidRPr="1B9F46DA">
        <w:rPr>
          <w:rFonts w:ascii="Aptos" w:hAnsi="Aptos"/>
          <w:sz w:val="22"/>
          <w:szCs w:val="22"/>
        </w:rPr>
        <w:t xml:space="preserve">will be identified through advertising to the general population, </w:t>
      </w:r>
      <w:r w:rsidR="009D5E64" w:rsidRPr="1B9F46DA">
        <w:rPr>
          <w:rFonts w:ascii="Aptos" w:hAnsi="Aptos"/>
          <w:sz w:val="22"/>
          <w:szCs w:val="22"/>
        </w:rPr>
        <w:t>or through existing research activities such as sero</w:t>
      </w:r>
      <w:r w:rsidR="00E83D21" w:rsidRPr="1B9F46DA">
        <w:rPr>
          <w:rFonts w:ascii="Aptos" w:hAnsi="Aptos"/>
          <w:sz w:val="22"/>
          <w:szCs w:val="22"/>
        </w:rPr>
        <w:t>-</w:t>
      </w:r>
      <w:r w:rsidR="009D5E64" w:rsidRPr="1B9F46DA">
        <w:rPr>
          <w:rFonts w:ascii="Aptos" w:hAnsi="Aptos"/>
          <w:sz w:val="22"/>
          <w:szCs w:val="22"/>
        </w:rPr>
        <w:t>surveillance studies</w:t>
      </w:r>
      <w:r w:rsidR="007B5699" w:rsidRPr="1B9F46DA">
        <w:rPr>
          <w:rFonts w:ascii="Aptos" w:hAnsi="Aptos"/>
          <w:sz w:val="22"/>
          <w:szCs w:val="22"/>
        </w:rPr>
        <w:t xml:space="preserve">. </w:t>
      </w:r>
      <w:r w:rsidR="008F575F" w:rsidRPr="1B9F46DA">
        <w:rPr>
          <w:rFonts w:ascii="Aptos" w:hAnsi="Aptos"/>
          <w:sz w:val="22"/>
          <w:szCs w:val="22"/>
        </w:rPr>
        <w:t xml:space="preserve">Volunteers will be able to provide their contact details and join the study </w:t>
      </w:r>
      <w:r w:rsidR="40753295" w:rsidRPr="1B9F46DA">
        <w:rPr>
          <w:rFonts w:ascii="Aptos" w:hAnsi="Aptos"/>
          <w:sz w:val="22"/>
          <w:szCs w:val="22"/>
        </w:rPr>
        <w:t>using</w:t>
      </w:r>
      <w:r w:rsidR="008F575F" w:rsidRPr="1B9F46DA">
        <w:rPr>
          <w:rFonts w:ascii="Aptos" w:hAnsi="Aptos"/>
          <w:sz w:val="22"/>
          <w:szCs w:val="22"/>
        </w:rPr>
        <w:t xml:space="preserve"> conventional paper-based consent procedures</w:t>
      </w:r>
      <w:r w:rsidR="004C5E26" w:rsidRPr="1B9F46DA">
        <w:rPr>
          <w:rFonts w:ascii="Aptos" w:hAnsi="Aptos"/>
          <w:sz w:val="22"/>
          <w:szCs w:val="22"/>
        </w:rPr>
        <w:t>.</w:t>
      </w:r>
    </w:p>
    <w:p w14:paraId="3D8C3323" w14:textId="26FA5F3B" w:rsidR="007E0DF3" w:rsidRPr="001A60D6" w:rsidRDefault="007E0DF3" w:rsidP="3769FC2D">
      <w:pPr>
        <w:jc w:val="both"/>
        <w:rPr>
          <w:rFonts w:ascii="Aptos" w:hAnsi="Aptos"/>
          <w:sz w:val="22"/>
          <w:szCs w:val="22"/>
          <w:highlight w:val="yellow"/>
        </w:rPr>
      </w:pPr>
      <w:r w:rsidRPr="001A60D6">
        <w:rPr>
          <w:rFonts w:ascii="Aptos" w:hAnsi="Aptos"/>
          <w:sz w:val="22"/>
          <w:szCs w:val="22"/>
          <w:highlight w:val="yellow"/>
        </w:rPr>
        <w:t>Drawing on relevant guidance of good practice, the online consent tool to be used is aligned with the key princip</w:t>
      </w:r>
      <w:r w:rsidR="00457C3E" w:rsidRPr="001A60D6">
        <w:rPr>
          <w:rFonts w:ascii="Aptos" w:hAnsi="Aptos"/>
          <w:sz w:val="22"/>
          <w:szCs w:val="22"/>
          <w:highlight w:val="yellow"/>
        </w:rPr>
        <w:t>le</w:t>
      </w:r>
      <w:r w:rsidRPr="001A60D6">
        <w:rPr>
          <w:rFonts w:ascii="Aptos" w:hAnsi="Aptos"/>
          <w:sz w:val="22"/>
          <w:szCs w:val="22"/>
          <w:highlight w:val="yellow"/>
        </w:rPr>
        <w:t>s in the sponsor guidance, HRA and MHRA statements on consent by electronic methods and advice of other relevant stakeholders. The online consent tool for submitting participants allows for a secure onward despatch to a secure</w:t>
      </w:r>
      <w:r w:rsidR="007E5214" w:rsidRPr="001A60D6">
        <w:rPr>
          <w:rFonts w:ascii="Aptos" w:hAnsi="Aptos"/>
          <w:sz w:val="22"/>
          <w:szCs w:val="22"/>
          <w:highlight w:val="yellow"/>
        </w:rPr>
        <w:t xml:space="preserve"> </w:t>
      </w:r>
      <w:r w:rsidRPr="001A60D6">
        <w:rPr>
          <w:rFonts w:ascii="Aptos" w:hAnsi="Aptos"/>
          <w:sz w:val="22"/>
          <w:szCs w:val="22"/>
          <w:highlight w:val="yellow"/>
        </w:rPr>
        <w:t xml:space="preserve">database. Access to this database and data will be closely monitored with limited users. Joining of the participant will require a minimum amount of information allowing unambiguous identification of the participant: name, date of birth, postcode and standard drop-down lists for symptoms and ethnicity. Should further identification of the participant be required, this can be undertaken by the healthcare professional responsible for blood sampling. Linkage with the </w:t>
      </w:r>
      <w:r w:rsidR="00E17D0D" w:rsidRPr="001A60D6">
        <w:rPr>
          <w:rFonts w:ascii="Aptos" w:hAnsi="Aptos"/>
          <w:sz w:val="22"/>
          <w:szCs w:val="22"/>
          <w:highlight w:val="yellow"/>
        </w:rPr>
        <w:t>appropriate healthcare provider</w:t>
      </w:r>
      <w:r w:rsidRPr="001A60D6">
        <w:rPr>
          <w:rFonts w:ascii="Aptos" w:hAnsi="Aptos"/>
          <w:sz w:val="22"/>
          <w:szCs w:val="22"/>
          <w:highlight w:val="yellow"/>
        </w:rPr>
        <w:t xml:space="preserve"> allowing access to medical records will allow further verification of the participant’s medical history. Depending on personal preference, the participant can then receive a printed or digital copy of the consent form.</w:t>
      </w:r>
    </w:p>
    <w:p w14:paraId="0DF65EFE" w14:textId="77777777" w:rsidR="00FF2DC5" w:rsidRPr="001A60D6" w:rsidRDefault="00577725">
      <w:pPr>
        <w:pStyle w:val="Heading2"/>
        <w:rPr>
          <w:rFonts w:ascii="Aptos" w:hAnsi="Aptos"/>
          <w:color w:val="000000" w:themeColor="text1"/>
        </w:rPr>
      </w:pPr>
      <w:bookmarkStart w:id="63" w:name="withdrawal-from-the-study"/>
      <w:bookmarkStart w:id="64" w:name="_Toc188625316"/>
      <w:r w:rsidRPr="1B9F46DA">
        <w:rPr>
          <w:rFonts w:ascii="Aptos" w:hAnsi="Aptos"/>
          <w:color w:val="000000" w:themeColor="text1"/>
        </w:rPr>
        <w:t>Withdrawal from the study</w:t>
      </w:r>
      <w:bookmarkEnd w:id="63"/>
      <w:bookmarkEnd w:id="64"/>
    </w:p>
    <w:p w14:paraId="3FA6DCC9" w14:textId="77777777" w:rsidR="00FF2DC5" w:rsidRPr="001A60D6" w:rsidRDefault="00577725">
      <w:pPr>
        <w:pStyle w:val="FirstParagraph"/>
        <w:rPr>
          <w:rFonts w:ascii="Aptos" w:hAnsi="Aptos"/>
          <w:color w:val="000000" w:themeColor="text1"/>
          <w:sz w:val="22"/>
          <w:szCs w:val="22"/>
        </w:rPr>
      </w:pPr>
      <w:r w:rsidRPr="001A60D6">
        <w:rPr>
          <w:rFonts w:ascii="Aptos" w:hAnsi="Aptos"/>
          <w:color w:val="000000" w:themeColor="text1"/>
          <w:sz w:val="22"/>
          <w:szCs w:val="22"/>
        </w:rPr>
        <w:t>Participants are freely able to decline participation in this study or to withdraw from participation at any point without suffering any implied or explicit disadvantage. All patients will be treated according to standard practice regardless of whether they participate.</w:t>
      </w:r>
    </w:p>
    <w:p w14:paraId="7F70F2CB" w14:textId="77777777" w:rsidR="00894A2B" w:rsidRPr="001A60D6" w:rsidRDefault="00894A2B" w:rsidP="00894A2B">
      <w:pPr>
        <w:pStyle w:val="BodyText"/>
        <w:rPr>
          <w:rFonts w:ascii="Aptos" w:hAnsi="Aptos"/>
          <w:color w:val="000000" w:themeColor="text1"/>
          <w:sz w:val="22"/>
          <w:szCs w:val="22"/>
        </w:rPr>
      </w:pPr>
      <w:r w:rsidRPr="001A60D6">
        <w:rPr>
          <w:rFonts w:ascii="Aptos" w:hAnsi="Aptos"/>
          <w:color w:val="000000" w:themeColor="text1"/>
          <w:sz w:val="22"/>
          <w:szCs w:val="22"/>
        </w:rPr>
        <w:t>The following options of withdrawal will be made available to participants:</w:t>
      </w:r>
    </w:p>
    <w:p w14:paraId="2B1F458A" w14:textId="77777777" w:rsidR="00894A2B" w:rsidRPr="001A60D6" w:rsidRDefault="00894A2B" w:rsidP="00894A2B">
      <w:pPr>
        <w:pStyle w:val="BodyText"/>
        <w:rPr>
          <w:rFonts w:ascii="Aptos" w:hAnsi="Aptos"/>
          <w:color w:val="000000" w:themeColor="text1"/>
          <w:sz w:val="22"/>
          <w:szCs w:val="22"/>
        </w:rPr>
      </w:pPr>
      <w:r w:rsidRPr="001A60D6">
        <w:rPr>
          <w:rFonts w:ascii="Aptos" w:hAnsi="Aptos"/>
          <w:color w:val="000000" w:themeColor="text1"/>
          <w:sz w:val="22"/>
          <w:szCs w:val="22"/>
        </w:rPr>
        <w:t>1. Partial withdrawal. Data WILL continue to be updated and used for research, but no further contact will be made with the participant</w:t>
      </w:r>
    </w:p>
    <w:p w14:paraId="69BB9945" w14:textId="77777777" w:rsidR="00894A2B" w:rsidRPr="001A60D6" w:rsidRDefault="00894A2B" w:rsidP="00894A2B">
      <w:pPr>
        <w:pStyle w:val="BodyText"/>
        <w:rPr>
          <w:rFonts w:ascii="Aptos" w:hAnsi="Aptos"/>
          <w:color w:val="000000" w:themeColor="text1"/>
          <w:sz w:val="22"/>
          <w:szCs w:val="22"/>
        </w:rPr>
      </w:pPr>
      <w:r w:rsidRPr="001A60D6">
        <w:rPr>
          <w:rFonts w:ascii="Aptos" w:hAnsi="Aptos"/>
          <w:color w:val="000000" w:themeColor="text1"/>
          <w:sz w:val="22"/>
          <w:szCs w:val="22"/>
        </w:rPr>
        <w:t>2. Full withdrawal.</w:t>
      </w:r>
    </w:p>
    <w:p w14:paraId="5CF3D99C" w14:textId="67B434D1" w:rsidR="00894A2B" w:rsidRPr="001A60D6" w:rsidRDefault="00614826" w:rsidP="00CA6DA3">
      <w:pPr>
        <w:pStyle w:val="BodyText"/>
        <w:numPr>
          <w:ilvl w:val="0"/>
          <w:numId w:val="37"/>
        </w:numPr>
        <w:rPr>
          <w:rFonts w:ascii="Aptos" w:hAnsi="Aptos"/>
          <w:color w:val="000000" w:themeColor="text1"/>
          <w:sz w:val="22"/>
          <w:szCs w:val="22"/>
        </w:rPr>
      </w:pPr>
      <w:r w:rsidRPr="001A60D6">
        <w:rPr>
          <w:rFonts w:ascii="Aptos" w:hAnsi="Aptos"/>
          <w:color w:val="000000" w:themeColor="text1"/>
          <w:sz w:val="22"/>
          <w:szCs w:val="22"/>
        </w:rPr>
        <w:t>N</w:t>
      </w:r>
      <w:r w:rsidR="00894A2B" w:rsidRPr="001A60D6">
        <w:rPr>
          <w:rFonts w:ascii="Aptos" w:hAnsi="Aptos"/>
          <w:color w:val="000000" w:themeColor="text1"/>
          <w:sz w:val="22"/>
          <w:szCs w:val="22"/>
        </w:rPr>
        <w:t>o further contact will be made with the participant</w:t>
      </w:r>
    </w:p>
    <w:p w14:paraId="11F024F2" w14:textId="075B33A9" w:rsidR="00894A2B" w:rsidRPr="001A60D6" w:rsidRDefault="00045E9F" w:rsidP="00CA6DA3">
      <w:pPr>
        <w:pStyle w:val="BodyText"/>
        <w:numPr>
          <w:ilvl w:val="0"/>
          <w:numId w:val="37"/>
        </w:numPr>
        <w:rPr>
          <w:rFonts w:ascii="Aptos" w:hAnsi="Aptos"/>
          <w:color w:val="000000" w:themeColor="text1"/>
          <w:sz w:val="22"/>
          <w:szCs w:val="22"/>
        </w:rPr>
      </w:pPr>
      <w:r w:rsidRPr="001A60D6">
        <w:rPr>
          <w:rFonts w:ascii="Aptos" w:hAnsi="Aptos"/>
          <w:color w:val="000000" w:themeColor="text1"/>
          <w:sz w:val="22"/>
          <w:szCs w:val="22"/>
        </w:rPr>
        <w:t>D</w:t>
      </w:r>
      <w:r w:rsidR="00894A2B" w:rsidRPr="001A60D6">
        <w:rPr>
          <w:rFonts w:ascii="Aptos" w:hAnsi="Aptos"/>
          <w:color w:val="000000" w:themeColor="text1"/>
          <w:sz w:val="22"/>
          <w:szCs w:val="22"/>
        </w:rPr>
        <w:t>ata will not be updated from health records;</w:t>
      </w:r>
    </w:p>
    <w:p w14:paraId="44F08CDC" w14:textId="05034E75" w:rsidR="00EC0D1C" w:rsidRPr="001A60D6" w:rsidRDefault="00045E9F" w:rsidP="00614826">
      <w:pPr>
        <w:pStyle w:val="BodyText"/>
        <w:numPr>
          <w:ilvl w:val="0"/>
          <w:numId w:val="37"/>
        </w:numPr>
        <w:rPr>
          <w:rFonts w:ascii="Aptos" w:hAnsi="Aptos"/>
          <w:color w:val="000000" w:themeColor="text1"/>
          <w:sz w:val="22"/>
          <w:szCs w:val="22"/>
        </w:rPr>
      </w:pPr>
      <w:r w:rsidRPr="001A60D6">
        <w:rPr>
          <w:rFonts w:ascii="Aptos" w:hAnsi="Aptos"/>
          <w:color w:val="000000" w:themeColor="text1"/>
          <w:sz w:val="22"/>
          <w:szCs w:val="22"/>
        </w:rPr>
        <w:t xml:space="preserve">Personal identifiable information and </w:t>
      </w:r>
      <w:r w:rsidR="00492E1C" w:rsidRPr="001A60D6">
        <w:rPr>
          <w:rFonts w:ascii="Aptos" w:hAnsi="Aptos"/>
          <w:color w:val="000000" w:themeColor="text1"/>
          <w:sz w:val="22"/>
          <w:szCs w:val="22"/>
        </w:rPr>
        <w:t>genetic data</w:t>
      </w:r>
      <w:r w:rsidR="00894A2B" w:rsidRPr="001A60D6">
        <w:rPr>
          <w:rFonts w:ascii="Aptos" w:hAnsi="Aptos"/>
          <w:color w:val="000000" w:themeColor="text1"/>
          <w:sz w:val="22"/>
          <w:szCs w:val="22"/>
        </w:rPr>
        <w:t xml:space="preserve"> will be </w:t>
      </w:r>
      <w:r w:rsidR="007247C8" w:rsidRPr="001A60D6">
        <w:rPr>
          <w:rFonts w:ascii="Aptos" w:hAnsi="Aptos"/>
          <w:color w:val="000000" w:themeColor="text1"/>
          <w:sz w:val="22"/>
          <w:szCs w:val="22"/>
        </w:rPr>
        <w:t>deleted from</w:t>
      </w:r>
      <w:r w:rsidR="00894A2B" w:rsidRPr="001A60D6">
        <w:rPr>
          <w:rFonts w:ascii="Aptos" w:hAnsi="Aptos"/>
          <w:color w:val="000000" w:themeColor="text1"/>
          <w:sz w:val="22"/>
          <w:szCs w:val="22"/>
        </w:rPr>
        <w:t xml:space="preserve"> </w:t>
      </w:r>
      <w:r w:rsidR="00EC0D1C" w:rsidRPr="001A60D6">
        <w:rPr>
          <w:rFonts w:ascii="Aptos" w:hAnsi="Aptos"/>
          <w:color w:val="000000" w:themeColor="text1"/>
          <w:sz w:val="22"/>
          <w:szCs w:val="22"/>
        </w:rPr>
        <w:t>the GenOMICC study compute</w:t>
      </w:r>
      <w:r w:rsidR="00736738" w:rsidRPr="001A60D6">
        <w:rPr>
          <w:rFonts w:ascii="Aptos" w:hAnsi="Aptos"/>
          <w:color w:val="000000" w:themeColor="text1"/>
          <w:sz w:val="22"/>
          <w:szCs w:val="22"/>
        </w:rPr>
        <w:t>r records, and the DNA sample will be destroyed</w:t>
      </w:r>
    </w:p>
    <w:p w14:paraId="3E158B9A" w14:textId="6FEC84BF" w:rsidR="00492E1C" w:rsidRPr="001A60D6" w:rsidRDefault="00492E1C" w:rsidP="00492E1C">
      <w:pPr>
        <w:pStyle w:val="BodyText"/>
        <w:numPr>
          <w:ilvl w:val="0"/>
          <w:numId w:val="37"/>
        </w:numPr>
        <w:rPr>
          <w:rFonts w:ascii="Aptos" w:hAnsi="Aptos"/>
          <w:color w:val="000000" w:themeColor="text1"/>
          <w:sz w:val="22"/>
          <w:szCs w:val="22"/>
        </w:rPr>
      </w:pPr>
      <w:r w:rsidRPr="001A60D6">
        <w:rPr>
          <w:rFonts w:ascii="Aptos" w:hAnsi="Aptos"/>
          <w:color w:val="000000" w:themeColor="text1"/>
          <w:sz w:val="22"/>
          <w:szCs w:val="22"/>
        </w:rPr>
        <w:t>De-identified information, and genetic data that is already included in analyses, will persist in the record of those analyses and in the aggregated results</w:t>
      </w:r>
    </w:p>
    <w:p w14:paraId="5B996511" w14:textId="1B7BD3BE" w:rsidR="00492E1C" w:rsidRPr="001A60D6" w:rsidRDefault="00492E1C" w:rsidP="00CA6DA3">
      <w:pPr>
        <w:pStyle w:val="BodyText"/>
        <w:ind w:left="720"/>
        <w:rPr>
          <w:rFonts w:ascii="Aptos" w:hAnsi="Aptos"/>
          <w:color w:val="000000" w:themeColor="text1"/>
          <w:sz w:val="22"/>
          <w:szCs w:val="22"/>
        </w:rPr>
      </w:pPr>
      <w:r w:rsidRPr="1B9F46DA">
        <w:rPr>
          <w:rFonts w:ascii="Aptos" w:hAnsi="Aptos"/>
          <w:color w:val="000000" w:themeColor="text1"/>
          <w:sz w:val="22"/>
          <w:szCs w:val="22"/>
        </w:rPr>
        <w:t>A record of participation in the study will remain with the original records at the research site.</w:t>
      </w:r>
    </w:p>
    <w:p w14:paraId="7B2BBE75" w14:textId="77777777" w:rsidR="00FF2DC5" w:rsidRPr="001A60D6" w:rsidRDefault="00577725">
      <w:pPr>
        <w:pStyle w:val="Heading2"/>
        <w:rPr>
          <w:rFonts w:ascii="Aptos" w:hAnsi="Aptos"/>
          <w:color w:val="000000" w:themeColor="text1"/>
        </w:rPr>
      </w:pPr>
      <w:bookmarkStart w:id="65" w:name="statistical-analysis"/>
      <w:bookmarkStart w:id="66" w:name="_Toc188625317"/>
      <w:r w:rsidRPr="1B9F46DA">
        <w:rPr>
          <w:rFonts w:ascii="Aptos" w:hAnsi="Aptos"/>
          <w:color w:val="000000" w:themeColor="text1"/>
        </w:rPr>
        <w:t>Statistical analysis</w:t>
      </w:r>
      <w:bookmarkEnd w:id="65"/>
      <w:bookmarkEnd w:id="66"/>
    </w:p>
    <w:p w14:paraId="58367B26" w14:textId="77777777" w:rsidR="00FF2DC5" w:rsidRPr="001A60D6" w:rsidRDefault="00577725">
      <w:pPr>
        <w:pStyle w:val="FirstParagraph"/>
        <w:rPr>
          <w:rFonts w:ascii="Aptos" w:hAnsi="Aptos"/>
          <w:color w:val="000000" w:themeColor="text1"/>
          <w:sz w:val="22"/>
          <w:szCs w:val="22"/>
        </w:rPr>
      </w:pPr>
      <w:r w:rsidRPr="001A60D6">
        <w:rPr>
          <w:rFonts w:ascii="Aptos" w:hAnsi="Aptos"/>
          <w:color w:val="000000" w:themeColor="text1"/>
          <w:sz w:val="22"/>
          <w:szCs w:val="22"/>
        </w:rPr>
        <w:t>Initial genome-wide and focused gene (using a longlist of immune-regulated genes) analyses will use standard protocols adjusting for any population structure. The models will incorporate clinical and environmental determinants of disease severity.</w:t>
      </w:r>
    </w:p>
    <w:p w14:paraId="3D1F4955" w14:textId="77777777" w:rsidR="00FF2DC5" w:rsidRPr="001A60D6" w:rsidRDefault="00577725">
      <w:pPr>
        <w:pStyle w:val="Heading1"/>
        <w:rPr>
          <w:rFonts w:ascii="Aptos" w:hAnsi="Aptos"/>
          <w:color w:val="000000" w:themeColor="text1"/>
        </w:rPr>
      </w:pPr>
      <w:bookmarkStart w:id="67" w:name="study-management"/>
      <w:bookmarkStart w:id="68" w:name="_Toc188625318"/>
      <w:r w:rsidRPr="1B9F46DA">
        <w:rPr>
          <w:rFonts w:ascii="Aptos" w:hAnsi="Aptos"/>
          <w:color w:val="000000" w:themeColor="text1"/>
        </w:rPr>
        <w:t>Study management</w:t>
      </w:r>
      <w:bookmarkEnd w:id="67"/>
      <w:bookmarkEnd w:id="68"/>
    </w:p>
    <w:p w14:paraId="744D0443" w14:textId="77777777" w:rsidR="00FF2DC5" w:rsidRPr="001A60D6" w:rsidRDefault="00577725">
      <w:pPr>
        <w:pStyle w:val="Heading2"/>
        <w:rPr>
          <w:rFonts w:ascii="Aptos" w:hAnsi="Aptos"/>
          <w:color w:val="000000" w:themeColor="text1"/>
        </w:rPr>
      </w:pPr>
      <w:bookmarkStart w:id="69" w:name="data-collection"/>
      <w:bookmarkStart w:id="70" w:name="_Toc188625319"/>
      <w:r w:rsidRPr="1B9F46DA">
        <w:rPr>
          <w:rFonts w:ascii="Aptos" w:hAnsi="Aptos"/>
          <w:color w:val="000000" w:themeColor="text1"/>
        </w:rPr>
        <w:t>Data collection</w:t>
      </w:r>
      <w:bookmarkEnd w:id="69"/>
      <w:bookmarkEnd w:id="70"/>
    </w:p>
    <w:p w14:paraId="49A97BFF" w14:textId="3C5E692E" w:rsidR="00FF2DC5" w:rsidRPr="001A60D6" w:rsidRDefault="00577725">
      <w:pPr>
        <w:pStyle w:val="FirstParagraph"/>
        <w:rPr>
          <w:rFonts w:ascii="Aptos" w:hAnsi="Aptos"/>
          <w:color w:val="000000" w:themeColor="text1"/>
          <w:sz w:val="22"/>
          <w:szCs w:val="22"/>
        </w:rPr>
      </w:pPr>
      <w:r w:rsidRPr="001A60D6">
        <w:rPr>
          <w:rFonts w:ascii="Aptos" w:hAnsi="Aptos"/>
          <w:color w:val="000000" w:themeColor="text1"/>
          <w:sz w:val="22"/>
          <w:szCs w:val="22"/>
        </w:rPr>
        <w:t xml:space="preserve">Clinical and laboratory data will be collected throughout the study according to local resources. Clinical data will be collected locally and CRFs completed by study staff. </w:t>
      </w:r>
      <w:r w:rsidR="00571EE6" w:rsidRPr="001A60D6">
        <w:rPr>
          <w:rFonts w:ascii="Aptos" w:hAnsi="Aptos"/>
          <w:color w:val="000000" w:themeColor="text1"/>
          <w:sz w:val="22"/>
          <w:szCs w:val="22"/>
        </w:rPr>
        <w:t xml:space="preserve">For control volunteers in the community, </w:t>
      </w:r>
      <w:r w:rsidR="00616F93" w:rsidRPr="001A60D6">
        <w:rPr>
          <w:rFonts w:ascii="Aptos" w:hAnsi="Aptos"/>
          <w:color w:val="000000" w:themeColor="text1"/>
          <w:sz w:val="22"/>
          <w:szCs w:val="22"/>
        </w:rPr>
        <w:t>they will be able to provide their contact details using conventional paper-based consent procedures or supplemented. The data will be linked with national regional and other (e.g. other research studies) data sources, and longitudinal life course data will be collected. Data will be made available to researchers in a de-identified format.</w:t>
      </w:r>
    </w:p>
    <w:p w14:paraId="5BACD370" w14:textId="2A3F3C7A" w:rsidR="001F4E1D" w:rsidRPr="001A60D6" w:rsidRDefault="001F4E1D" w:rsidP="001F4E1D">
      <w:pPr>
        <w:pStyle w:val="BodyText"/>
        <w:rPr>
          <w:rFonts w:ascii="Aptos" w:hAnsi="Aptos"/>
          <w:sz w:val="22"/>
          <w:szCs w:val="22"/>
        </w:rPr>
      </w:pPr>
      <w:r w:rsidRPr="006D7CEC">
        <w:rPr>
          <w:rFonts w:ascii="Aptos" w:hAnsi="Aptos"/>
          <w:sz w:val="22"/>
          <w:szCs w:val="22"/>
          <w:highlight w:val="yellow"/>
        </w:rPr>
        <w:t xml:space="preserve">Investigator site files and associated paperwork relating to participation in GenOMICC </w:t>
      </w:r>
      <w:r w:rsidR="3248F79A" w:rsidRPr="006D7CEC">
        <w:rPr>
          <w:rFonts w:ascii="Aptos" w:hAnsi="Aptos"/>
          <w:sz w:val="22"/>
          <w:szCs w:val="22"/>
          <w:highlight w:val="yellow"/>
        </w:rPr>
        <w:t>at research</w:t>
      </w:r>
      <w:r w:rsidRPr="006D7CEC">
        <w:rPr>
          <w:rFonts w:ascii="Aptos" w:hAnsi="Aptos"/>
          <w:sz w:val="22"/>
          <w:szCs w:val="22"/>
          <w:highlight w:val="yellow"/>
        </w:rPr>
        <w:t xml:space="preserve"> sites may be held in paper format or electronically by secure means on a</w:t>
      </w:r>
      <w:r w:rsidR="29B78B66" w:rsidRPr="006D7CEC">
        <w:rPr>
          <w:rFonts w:ascii="Aptos" w:hAnsi="Aptos"/>
          <w:sz w:val="22"/>
          <w:szCs w:val="22"/>
          <w:highlight w:val="yellow"/>
        </w:rPr>
        <w:t xml:space="preserve"> </w:t>
      </w:r>
      <w:r w:rsidRPr="006D7CEC">
        <w:rPr>
          <w:rFonts w:ascii="Aptos" w:hAnsi="Aptos"/>
          <w:sz w:val="22"/>
          <w:szCs w:val="22"/>
          <w:highlight w:val="yellow"/>
        </w:rPr>
        <w:t>computer.</w:t>
      </w:r>
    </w:p>
    <w:p w14:paraId="0BB1565D" w14:textId="77777777" w:rsidR="000176BE" w:rsidRPr="001A60D6" w:rsidRDefault="000176BE" w:rsidP="00CA6DA3">
      <w:pPr>
        <w:pStyle w:val="BodyText"/>
        <w:rPr>
          <w:rFonts w:ascii="Aptos" w:hAnsi="Aptos"/>
          <w:sz w:val="22"/>
          <w:szCs w:val="22"/>
        </w:rPr>
      </w:pPr>
    </w:p>
    <w:p w14:paraId="0606B0A5" w14:textId="77777777" w:rsidR="00FF2DC5" w:rsidRPr="001A60D6" w:rsidRDefault="00577725">
      <w:pPr>
        <w:pStyle w:val="Heading2"/>
        <w:rPr>
          <w:rFonts w:ascii="Aptos" w:hAnsi="Aptos"/>
          <w:color w:val="000000" w:themeColor="text1"/>
        </w:rPr>
      </w:pPr>
      <w:bookmarkStart w:id="71" w:name="data-management"/>
      <w:bookmarkStart w:id="72" w:name="_Toc188625320"/>
      <w:r w:rsidRPr="1B9F46DA">
        <w:rPr>
          <w:rFonts w:ascii="Aptos" w:hAnsi="Aptos"/>
          <w:color w:val="000000" w:themeColor="text1"/>
        </w:rPr>
        <w:t>Data Management</w:t>
      </w:r>
      <w:bookmarkEnd w:id="71"/>
      <w:bookmarkEnd w:id="72"/>
    </w:p>
    <w:p w14:paraId="49B35699" w14:textId="02A58CCD" w:rsidR="00FF2DC5" w:rsidRPr="001A60D6" w:rsidRDefault="00577725" w:rsidP="007247C8">
      <w:pPr>
        <w:pStyle w:val="FirstParagraph"/>
        <w:jc w:val="both"/>
        <w:rPr>
          <w:rFonts w:ascii="Aptos" w:hAnsi="Aptos"/>
          <w:color w:val="000000" w:themeColor="text1"/>
          <w:sz w:val="22"/>
          <w:szCs w:val="22"/>
        </w:rPr>
      </w:pPr>
      <w:r w:rsidRPr="001A60D6">
        <w:rPr>
          <w:rFonts w:ascii="Aptos" w:hAnsi="Aptos"/>
          <w:color w:val="000000" w:themeColor="text1"/>
          <w:sz w:val="22"/>
          <w:szCs w:val="22"/>
        </w:rPr>
        <w:t xml:space="preserve">When available, data collected by staff at each site will be submitted electronically to a </w:t>
      </w:r>
      <w:r w:rsidR="006D3F32" w:rsidRPr="001A60D6">
        <w:rPr>
          <w:rFonts w:ascii="Aptos" w:hAnsi="Aptos"/>
          <w:color w:val="000000" w:themeColor="text1"/>
          <w:sz w:val="22"/>
          <w:szCs w:val="22"/>
        </w:rPr>
        <w:t>secure</w:t>
      </w:r>
      <w:r w:rsidRPr="001A60D6">
        <w:rPr>
          <w:rFonts w:ascii="Aptos" w:hAnsi="Aptos"/>
          <w:color w:val="000000" w:themeColor="text1"/>
          <w:sz w:val="22"/>
          <w:szCs w:val="22"/>
        </w:rPr>
        <w:t xml:space="preserve"> online database.</w:t>
      </w:r>
      <w:r w:rsidR="007517DC" w:rsidRPr="001A60D6">
        <w:rPr>
          <w:rFonts w:ascii="Aptos" w:hAnsi="Aptos"/>
          <w:color w:val="000000" w:themeColor="text1"/>
          <w:sz w:val="22"/>
          <w:szCs w:val="22"/>
        </w:rPr>
        <w:t xml:space="preserve"> D</w:t>
      </w:r>
      <w:r w:rsidRPr="001A60D6">
        <w:rPr>
          <w:rFonts w:ascii="Aptos" w:hAnsi="Aptos"/>
          <w:color w:val="000000" w:themeColor="text1"/>
          <w:sz w:val="22"/>
          <w:szCs w:val="22"/>
        </w:rPr>
        <w:t xml:space="preserve">ata will be entered by study staff where possible, in order to minimise the workload </w:t>
      </w:r>
      <w:r w:rsidR="10708414" w:rsidRPr="001A60D6">
        <w:rPr>
          <w:rFonts w:ascii="Aptos" w:hAnsi="Aptos"/>
          <w:color w:val="000000" w:themeColor="text1"/>
          <w:sz w:val="22"/>
          <w:szCs w:val="22"/>
        </w:rPr>
        <w:t xml:space="preserve">for </w:t>
      </w:r>
      <w:r w:rsidR="007247C8" w:rsidRPr="001A60D6">
        <w:rPr>
          <w:rFonts w:ascii="Aptos" w:hAnsi="Aptos"/>
          <w:color w:val="000000" w:themeColor="text1"/>
          <w:sz w:val="22"/>
          <w:szCs w:val="22"/>
        </w:rPr>
        <w:t>on-site</w:t>
      </w:r>
      <w:r w:rsidRPr="001A60D6">
        <w:rPr>
          <w:rFonts w:ascii="Aptos" w:hAnsi="Aptos"/>
          <w:color w:val="000000" w:themeColor="text1"/>
          <w:sz w:val="22"/>
          <w:szCs w:val="22"/>
        </w:rPr>
        <w:t xml:space="preserve"> clinical staff. Quality checks will be built into the data management system and there will be quality control checks of critical data points entered into the CRFs to ensure standardisation and validity of the data collected. The study will adhere to </w:t>
      </w:r>
      <w:r w:rsidR="007069D3" w:rsidRPr="001A60D6">
        <w:rPr>
          <w:rFonts w:ascii="Aptos" w:hAnsi="Aptos"/>
          <w:color w:val="000000" w:themeColor="text1"/>
          <w:sz w:val="22"/>
          <w:szCs w:val="22"/>
        </w:rPr>
        <w:t>national and international</w:t>
      </w:r>
      <w:r w:rsidRPr="001A60D6">
        <w:rPr>
          <w:rFonts w:ascii="Aptos" w:hAnsi="Aptos"/>
          <w:color w:val="000000" w:themeColor="text1"/>
          <w:sz w:val="22"/>
          <w:szCs w:val="22"/>
        </w:rPr>
        <w:t xml:space="preserve"> data protection regulations. Patients’ identities will be protected and their information held securely.</w:t>
      </w:r>
    </w:p>
    <w:p w14:paraId="366E40D6" w14:textId="3D9C864D" w:rsidR="00572A2D" w:rsidRPr="001A60D6" w:rsidRDefault="00572A2D" w:rsidP="007247C8">
      <w:pPr>
        <w:pStyle w:val="BodyText"/>
        <w:jc w:val="both"/>
        <w:rPr>
          <w:rFonts w:ascii="Aptos" w:hAnsi="Aptos"/>
          <w:color w:val="000000" w:themeColor="text1"/>
          <w:sz w:val="22"/>
          <w:szCs w:val="22"/>
        </w:rPr>
      </w:pPr>
      <w:r w:rsidRPr="001A60D6">
        <w:rPr>
          <w:rFonts w:ascii="Aptos" w:hAnsi="Aptos"/>
          <w:color w:val="000000" w:themeColor="text1"/>
          <w:sz w:val="22"/>
          <w:szCs w:val="22"/>
        </w:rPr>
        <w:t>All clinical, genetic and genome sequence data</w:t>
      </w:r>
      <w:r w:rsidR="00AF7B2E" w:rsidRPr="001A60D6">
        <w:rPr>
          <w:rFonts w:ascii="Aptos" w:hAnsi="Aptos"/>
          <w:color w:val="000000" w:themeColor="text1"/>
          <w:sz w:val="22"/>
          <w:szCs w:val="22"/>
        </w:rPr>
        <w:t xml:space="preserve"> shared with University of Edinburgh</w:t>
      </w:r>
      <w:r w:rsidRPr="001A60D6">
        <w:rPr>
          <w:rFonts w:ascii="Aptos" w:hAnsi="Aptos"/>
          <w:color w:val="000000" w:themeColor="text1"/>
          <w:sz w:val="22"/>
          <w:szCs w:val="22"/>
        </w:rPr>
        <w:t xml:space="preserve"> during the course of this study will be hosted on the GenOMICC study </w:t>
      </w:r>
      <w:r w:rsidR="006D0842" w:rsidRPr="001A60D6">
        <w:rPr>
          <w:rFonts w:ascii="Aptos" w:hAnsi="Aptos"/>
          <w:color w:val="000000" w:themeColor="text1"/>
          <w:sz w:val="22"/>
          <w:szCs w:val="22"/>
        </w:rPr>
        <w:t>space</w:t>
      </w:r>
      <w:r w:rsidRPr="001A60D6">
        <w:rPr>
          <w:rFonts w:ascii="Aptos" w:hAnsi="Aptos"/>
          <w:color w:val="000000" w:themeColor="text1"/>
          <w:sz w:val="22"/>
          <w:szCs w:val="22"/>
        </w:rPr>
        <w:t xml:space="preserve"> in </w:t>
      </w:r>
      <w:r w:rsidR="654618DE" w:rsidRPr="001A60D6">
        <w:rPr>
          <w:rFonts w:ascii="Aptos" w:hAnsi="Aptos"/>
          <w:color w:val="000000" w:themeColor="text1"/>
          <w:sz w:val="22"/>
          <w:szCs w:val="22"/>
        </w:rPr>
        <w:t xml:space="preserve">the </w:t>
      </w:r>
      <w:r w:rsidRPr="001A60D6">
        <w:rPr>
          <w:rFonts w:ascii="Aptos" w:hAnsi="Aptos"/>
          <w:color w:val="000000" w:themeColor="text1"/>
          <w:sz w:val="22"/>
          <w:szCs w:val="22"/>
        </w:rPr>
        <w:t xml:space="preserve">established </w:t>
      </w:r>
      <w:r w:rsidR="0D530F24" w:rsidRPr="001A60D6">
        <w:rPr>
          <w:rFonts w:ascii="Aptos" w:hAnsi="Aptos"/>
          <w:color w:val="000000" w:themeColor="text1"/>
          <w:sz w:val="22"/>
          <w:szCs w:val="22"/>
        </w:rPr>
        <w:t xml:space="preserve">Outbreak Data Analysis Platform </w:t>
      </w:r>
      <w:r w:rsidR="0D530F24" w:rsidRPr="001A60D6">
        <w:rPr>
          <w:rFonts w:ascii="Aptos" w:eastAsia="Times New Roman" w:hAnsi="Aptos" w:cs="Times New Roman"/>
          <w:sz w:val="22"/>
          <w:szCs w:val="22"/>
        </w:rPr>
        <w:t>(</w:t>
      </w:r>
      <w:hyperlink r:id="rId21">
        <w:r w:rsidR="0D530F24" w:rsidRPr="001A60D6">
          <w:rPr>
            <w:rStyle w:val="Hyperlink"/>
            <w:rFonts w:ascii="Aptos" w:eastAsia="Times New Roman" w:hAnsi="Aptos" w:cs="Times New Roman"/>
            <w:color w:val="auto"/>
            <w:sz w:val="22"/>
            <w:szCs w:val="22"/>
          </w:rPr>
          <w:t>https://odap.ac.uk/</w:t>
        </w:r>
      </w:hyperlink>
      <w:r w:rsidR="0D530F24" w:rsidRPr="001A60D6">
        <w:rPr>
          <w:rFonts w:ascii="Aptos" w:eastAsia="Times New Roman" w:hAnsi="Aptos" w:cs="Times New Roman"/>
          <w:sz w:val="22"/>
          <w:szCs w:val="22"/>
        </w:rPr>
        <w:t>),</w:t>
      </w:r>
      <w:r w:rsidR="0D530F24" w:rsidRPr="001A60D6">
        <w:rPr>
          <w:rFonts w:ascii="Aptos" w:eastAsia="Calibri" w:hAnsi="Aptos" w:cs="Calibri"/>
          <w:sz w:val="22"/>
          <w:szCs w:val="22"/>
        </w:rPr>
        <w:t xml:space="preserve"> at t</w:t>
      </w:r>
      <w:r w:rsidRPr="001A60D6">
        <w:rPr>
          <w:rFonts w:ascii="Aptos" w:hAnsi="Aptos"/>
          <w:color w:val="000000" w:themeColor="text1"/>
          <w:sz w:val="22"/>
          <w:szCs w:val="22"/>
        </w:rPr>
        <w:t>he University of Edinburgh. Deidentified and summary-level data will be made available to external investigators</w:t>
      </w:r>
      <w:r w:rsidR="005E4E01" w:rsidRPr="001A60D6">
        <w:rPr>
          <w:rFonts w:ascii="Aptos" w:hAnsi="Aptos"/>
          <w:color w:val="000000" w:themeColor="text1"/>
          <w:sz w:val="22"/>
          <w:szCs w:val="22"/>
        </w:rPr>
        <w:t xml:space="preserve"> both directly and through a data analysis platform.</w:t>
      </w:r>
    </w:p>
    <w:p w14:paraId="3EBA243D" w14:textId="77777777" w:rsidR="00572A2D" w:rsidRPr="001A60D6" w:rsidRDefault="0055213F" w:rsidP="007247C8">
      <w:pPr>
        <w:pStyle w:val="BodyText"/>
        <w:jc w:val="both"/>
        <w:rPr>
          <w:rFonts w:ascii="Aptos" w:hAnsi="Aptos"/>
          <w:color w:val="000000" w:themeColor="text1"/>
          <w:sz w:val="22"/>
          <w:szCs w:val="22"/>
        </w:rPr>
      </w:pPr>
      <w:r w:rsidRPr="001A60D6">
        <w:rPr>
          <w:rFonts w:ascii="Aptos" w:hAnsi="Aptos"/>
          <w:color w:val="000000" w:themeColor="text1"/>
          <w:sz w:val="22"/>
          <w:szCs w:val="22"/>
        </w:rPr>
        <w:t>Deidentified individual level data will only be shared with other organi</w:t>
      </w:r>
      <w:r w:rsidR="008C10AE" w:rsidRPr="001A60D6">
        <w:rPr>
          <w:rFonts w:ascii="Aptos" w:hAnsi="Aptos"/>
          <w:color w:val="000000" w:themeColor="text1"/>
          <w:sz w:val="22"/>
          <w:szCs w:val="22"/>
        </w:rPr>
        <w:t>s</w:t>
      </w:r>
      <w:r w:rsidRPr="001A60D6">
        <w:rPr>
          <w:rFonts w:ascii="Aptos" w:hAnsi="Aptos"/>
          <w:color w:val="000000" w:themeColor="text1"/>
          <w:sz w:val="22"/>
          <w:szCs w:val="22"/>
        </w:rPr>
        <w:t>ations that</w:t>
      </w:r>
      <w:r w:rsidR="00363582" w:rsidRPr="001A60D6">
        <w:rPr>
          <w:rFonts w:ascii="Aptos" w:hAnsi="Aptos"/>
          <w:color w:val="000000" w:themeColor="text1"/>
          <w:sz w:val="22"/>
          <w:szCs w:val="22"/>
        </w:rPr>
        <w:t xml:space="preserve"> </w:t>
      </w:r>
      <w:r w:rsidRPr="001A60D6">
        <w:rPr>
          <w:rFonts w:ascii="Aptos" w:hAnsi="Aptos"/>
          <w:color w:val="000000" w:themeColor="text1"/>
          <w:sz w:val="22"/>
          <w:szCs w:val="22"/>
        </w:rPr>
        <w:t>have Access Review Committee approval.</w:t>
      </w:r>
    </w:p>
    <w:p w14:paraId="060D1F1E" w14:textId="77777777" w:rsidR="00FF2DC5" w:rsidRPr="001A60D6" w:rsidRDefault="00577725">
      <w:pPr>
        <w:pStyle w:val="Heading2"/>
        <w:rPr>
          <w:rFonts w:ascii="Aptos" w:hAnsi="Aptos"/>
          <w:color w:val="000000" w:themeColor="text1"/>
        </w:rPr>
      </w:pPr>
      <w:bookmarkStart w:id="73" w:name="medical-management-and-safety-reporting"/>
      <w:bookmarkStart w:id="74" w:name="_Toc188625321"/>
      <w:r w:rsidRPr="1B9F46DA">
        <w:rPr>
          <w:rFonts w:ascii="Aptos" w:hAnsi="Aptos"/>
          <w:color w:val="000000" w:themeColor="text1"/>
        </w:rPr>
        <w:t>Medical management and safety reporting</w:t>
      </w:r>
      <w:bookmarkEnd w:id="73"/>
      <w:bookmarkEnd w:id="74"/>
    </w:p>
    <w:p w14:paraId="406F650A" w14:textId="18E650DB" w:rsidR="00FF2DC5" w:rsidRPr="001A60D6" w:rsidRDefault="00577725" w:rsidP="006D7CEC">
      <w:pPr>
        <w:pStyle w:val="FirstParagraph"/>
        <w:jc w:val="both"/>
        <w:rPr>
          <w:rFonts w:ascii="Aptos" w:hAnsi="Aptos"/>
          <w:color w:val="000000" w:themeColor="text1"/>
          <w:sz w:val="22"/>
          <w:szCs w:val="22"/>
        </w:rPr>
      </w:pPr>
      <w:r w:rsidRPr="001A60D6">
        <w:rPr>
          <w:rFonts w:ascii="Aptos" w:hAnsi="Aptos"/>
          <w:color w:val="000000" w:themeColor="text1"/>
          <w:sz w:val="22"/>
          <w:szCs w:val="22"/>
        </w:rPr>
        <w:t xml:space="preserve">Medical management will be according to standard of care at the treating site and not a part of this research protocol. Research </w:t>
      </w:r>
      <w:r w:rsidR="00667F6C" w:rsidRPr="001A60D6">
        <w:rPr>
          <w:rFonts w:ascii="Aptos" w:hAnsi="Aptos"/>
          <w:color w:val="000000" w:themeColor="text1"/>
          <w:sz w:val="22"/>
          <w:szCs w:val="22"/>
        </w:rPr>
        <w:t xml:space="preserve"> activity</w:t>
      </w:r>
      <w:r w:rsidR="009D57D6" w:rsidRPr="001A60D6">
        <w:rPr>
          <w:rFonts w:ascii="Aptos" w:hAnsi="Aptos"/>
          <w:color w:val="000000" w:themeColor="text1"/>
          <w:sz w:val="22"/>
          <w:szCs w:val="22"/>
        </w:rPr>
        <w:t xml:space="preserve"> involves</w:t>
      </w:r>
      <w:r w:rsidRPr="001A60D6">
        <w:rPr>
          <w:rFonts w:ascii="Aptos" w:hAnsi="Aptos"/>
          <w:color w:val="000000" w:themeColor="text1"/>
          <w:sz w:val="22"/>
          <w:szCs w:val="22"/>
        </w:rPr>
        <w:t xml:space="preserve"> only collection of clinical information and specimens; hence adverse event reporting is not applicable as there is no intervention.</w:t>
      </w:r>
    </w:p>
    <w:p w14:paraId="0C8411BE" w14:textId="77777777" w:rsidR="00FF2DC5" w:rsidRPr="001A60D6" w:rsidRDefault="00577725" w:rsidP="006D7CEC">
      <w:pPr>
        <w:pStyle w:val="Heading2"/>
        <w:jc w:val="both"/>
        <w:rPr>
          <w:rFonts w:ascii="Aptos" w:hAnsi="Aptos"/>
          <w:color w:val="000000" w:themeColor="text1"/>
        </w:rPr>
      </w:pPr>
      <w:bookmarkStart w:id="75" w:name="data-and-materials-access-committee"/>
      <w:bookmarkStart w:id="76" w:name="_Toc188625322"/>
      <w:r w:rsidRPr="1B9F46DA">
        <w:rPr>
          <w:rFonts w:ascii="Aptos" w:hAnsi="Aptos"/>
          <w:color w:val="000000" w:themeColor="text1"/>
        </w:rPr>
        <w:t>Data and materials access committee</w:t>
      </w:r>
      <w:bookmarkEnd w:id="75"/>
      <w:bookmarkEnd w:id="76"/>
    </w:p>
    <w:p w14:paraId="41A96916" w14:textId="067DDC20" w:rsidR="00FF2DC5" w:rsidRPr="001A60D6" w:rsidRDefault="00577725" w:rsidP="006D7CEC">
      <w:pPr>
        <w:pStyle w:val="FirstParagraph"/>
        <w:jc w:val="both"/>
        <w:rPr>
          <w:rFonts w:ascii="Aptos" w:hAnsi="Aptos"/>
          <w:color w:val="000000" w:themeColor="text1"/>
          <w:sz w:val="22"/>
          <w:szCs w:val="22"/>
        </w:rPr>
      </w:pPr>
      <w:r w:rsidRPr="1B9F46DA">
        <w:rPr>
          <w:rFonts w:ascii="Aptos" w:hAnsi="Aptos"/>
          <w:color w:val="000000" w:themeColor="text1"/>
          <w:sz w:val="22"/>
          <w:szCs w:val="22"/>
          <w:highlight w:val="yellow"/>
        </w:rPr>
        <w:t xml:space="preserve">The data and materials access committee will control all requests for access to protected samples and data. The committee will comprise one representative from each contributing region, and representatives from the core study team. The committee will meet by teleconference at 6 monthly </w:t>
      </w:r>
      <w:r w:rsidR="0E4A4F7A" w:rsidRPr="1B9F46DA">
        <w:rPr>
          <w:rFonts w:ascii="Aptos" w:hAnsi="Aptos"/>
          <w:color w:val="000000" w:themeColor="text1"/>
          <w:sz w:val="22"/>
          <w:szCs w:val="22"/>
          <w:highlight w:val="yellow"/>
        </w:rPr>
        <w:t>intervals and</w:t>
      </w:r>
      <w:r w:rsidRPr="1B9F46DA">
        <w:rPr>
          <w:rFonts w:ascii="Aptos" w:hAnsi="Aptos"/>
          <w:color w:val="000000" w:themeColor="text1"/>
          <w:sz w:val="22"/>
          <w:szCs w:val="22"/>
          <w:highlight w:val="yellow"/>
        </w:rPr>
        <w:t xml:space="preserve"> will consider extraordinary requests out of cycle by email where the committee chair deems it appropriate. All requests for materials and protected data must be approved by a majority vote of this committee.</w:t>
      </w:r>
    </w:p>
    <w:p w14:paraId="1B313A46" w14:textId="77777777" w:rsidR="00FF2DC5" w:rsidRPr="001A60D6" w:rsidRDefault="00577725" w:rsidP="006D7CEC">
      <w:pPr>
        <w:pStyle w:val="Heading2"/>
        <w:jc w:val="both"/>
        <w:rPr>
          <w:rFonts w:ascii="Aptos" w:hAnsi="Aptos"/>
          <w:color w:val="000000" w:themeColor="text1"/>
        </w:rPr>
      </w:pPr>
      <w:bookmarkStart w:id="77" w:name="protected-data-and-materials"/>
      <w:bookmarkStart w:id="78" w:name="_Toc188625323"/>
      <w:r w:rsidRPr="1B9F46DA">
        <w:rPr>
          <w:rFonts w:ascii="Aptos" w:hAnsi="Aptos"/>
          <w:color w:val="000000" w:themeColor="text1"/>
        </w:rPr>
        <w:t>Protected data and materials</w:t>
      </w:r>
      <w:bookmarkEnd w:id="77"/>
      <w:bookmarkEnd w:id="78"/>
    </w:p>
    <w:p w14:paraId="4A955BA2" w14:textId="77777777" w:rsidR="00FF2DC5" w:rsidRPr="001A60D6" w:rsidRDefault="00577725" w:rsidP="006D7CEC">
      <w:pPr>
        <w:pStyle w:val="FirstParagraph"/>
        <w:jc w:val="both"/>
        <w:rPr>
          <w:rFonts w:ascii="Aptos" w:hAnsi="Aptos"/>
          <w:color w:val="000000" w:themeColor="text1"/>
          <w:sz w:val="22"/>
          <w:szCs w:val="22"/>
        </w:rPr>
      </w:pPr>
      <w:r w:rsidRPr="001A60D6">
        <w:rPr>
          <w:rFonts w:ascii="Aptos" w:hAnsi="Aptos"/>
          <w:color w:val="000000" w:themeColor="text1"/>
          <w:sz w:val="22"/>
          <w:szCs w:val="22"/>
        </w:rPr>
        <w:t>Protected data refers to all genotype-level data from all studies, and clinical data relating to individual patients. All samples acquired in the course of this work will be considered protected materials.</w:t>
      </w:r>
    </w:p>
    <w:p w14:paraId="5EE92546" w14:textId="77777777" w:rsidR="00FF2DC5" w:rsidRPr="001A60D6" w:rsidRDefault="00577725" w:rsidP="006D7CEC">
      <w:pPr>
        <w:pStyle w:val="Heading2"/>
        <w:jc w:val="both"/>
        <w:rPr>
          <w:rFonts w:ascii="Aptos" w:hAnsi="Aptos"/>
          <w:color w:val="000000" w:themeColor="text1"/>
        </w:rPr>
      </w:pPr>
      <w:bookmarkStart w:id="79" w:name="materials-access"/>
      <w:bookmarkStart w:id="80" w:name="_Toc188625324"/>
      <w:r w:rsidRPr="1B9F46DA">
        <w:rPr>
          <w:rFonts w:ascii="Aptos" w:hAnsi="Aptos"/>
          <w:color w:val="000000" w:themeColor="text1"/>
        </w:rPr>
        <w:t>Materials access</w:t>
      </w:r>
      <w:bookmarkEnd w:id="79"/>
      <w:bookmarkEnd w:id="80"/>
    </w:p>
    <w:p w14:paraId="3147DCF3" w14:textId="7CC903E7" w:rsidR="00FF2DC5" w:rsidRPr="001A60D6" w:rsidRDefault="00577725" w:rsidP="006D7CEC">
      <w:pPr>
        <w:pStyle w:val="FirstParagraph"/>
        <w:jc w:val="both"/>
        <w:rPr>
          <w:rFonts w:ascii="Aptos" w:hAnsi="Aptos"/>
          <w:color w:val="000000" w:themeColor="text1"/>
          <w:sz w:val="22"/>
          <w:szCs w:val="22"/>
        </w:rPr>
      </w:pPr>
      <w:r w:rsidRPr="001A60D6">
        <w:rPr>
          <w:rFonts w:ascii="Aptos" w:hAnsi="Aptos"/>
          <w:color w:val="000000" w:themeColor="text1"/>
          <w:sz w:val="22"/>
          <w:szCs w:val="22"/>
          <w:highlight w:val="yellow"/>
        </w:rPr>
        <w:t>Access to samples for additional analyses will be governed by the data and materials access committee, in collaboration with the individual recruiting sites</w:t>
      </w:r>
      <w:r w:rsidR="00966B90" w:rsidRPr="001A60D6">
        <w:rPr>
          <w:rFonts w:ascii="Aptos" w:hAnsi="Aptos"/>
          <w:color w:val="000000" w:themeColor="text1"/>
          <w:sz w:val="22"/>
          <w:szCs w:val="22"/>
          <w:highlight w:val="yellow"/>
        </w:rPr>
        <w:t>/centres</w:t>
      </w:r>
      <w:r w:rsidRPr="001A60D6">
        <w:rPr>
          <w:rFonts w:ascii="Aptos" w:hAnsi="Aptos"/>
          <w:color w:val="000000" w:themeColor="text1"/>
          <w:sz w:val="22"/>
          <w:szCs w:val="22"/>
          <w:highlight w:val="yellow"/>
        </w:rPr>
        <w:t>.</w:t>
      </w:r>
    </w:p>
    <w:p w14:paraId="2CF42D0C" w14:textId="77777777" w:rsidR="00FF2DC5" w:rsidRPr="001A60D6" w:rsidRDefault="00577725" w:rsidP="006D7CEC">
      <w:pPr>
        <w:pStyle w:val="Heading2"/>
        <w:jc w:val="both"/>
        <w:rPr>
          <w:rFonts w:ascii="Aptos" w:hAnsi="Aptos"/>
          <w:color w:val="000000" w:themeColor="text1"/>
        </w:rPr>
      </w:pPr>
      <w:bookmarkStart w:id="81" w:name="data-access"/>
      <w:bookmarkStart w:id="82" w:name="_Toc188625325"/>
      <w:r w:rsidRPr="1B9F46DA">
        <w:rPr>
          <w:rFonts w:ascii="Aptos" w:hAnsi="Aptos"/>
          <w:color w:val="000000" w:themeColor="text1"/>
        </w:rPr>
        <w:t>Data access</w:t>
      </w:r>
      <w:bookmarkEnd w:id="81"/>
      <w:bookmarkEnd w:id="82"/>
    </w:p>
    <w:p w14:paraId="2E70E5E0" w14:textId="241D9AF6" w:rsidR="00FF2DC5" w:rsidRPr="001A60D6" w:rsidRDefault="00577725" w:rsidP="006D7CEC">
      <w:pPr>
        <w:pStyle w:val="BodyText"/>
        <w:jc w:val="both"/>
        <w:rPr>
          <w:rFonts w:ascii="Aptos" w:hAnsi="Aptos"/>
          <w:color w:val="000000" w:themeColor="text1"/>
          <w:sz w:val="22"/>
          <w:szCs w:val="22"/>
        </w:rPr>
      </w:pPr>
      <w:r w:rsidRPr="001A60D6">
        <w:rPr>
          <w:rFonts w:ascii="Aptos" w:hAnsi="Aptos"/>
          <w:color w:val="000000" w:themeColor="text1"/>
          <w:sz w:val="22"/>
          <w:szCs w:val="22"/>
        </w:rPr>
        <w:t>Access to data</w:t>
      </w:r>
      <w:r w:rsidR="00AF7B2E" w:rsidRPr="001A60D6">
        <w:rPr>
          <w:rFonts w:ascii="Aptos" w:hAnsi="Aptos"/>
          <w:color w:val="000000" w:themeColor="text1"/>
          <w:sz w:val="22"/>
          <w:szCs w:val="22"/>
        </w:rPr>
        <w:t xml:space="preserve"> which has been shared with the University of Edinburgh,</w:t>
      </w:r>
      <w:r w:rsidRPr="001A60D6">
        <w:rPr>
          <w:rFonts w:ascii="Aptos" w:hAnsi="Aptos"/>
          <w:color w:val="000000" w:themeColor="text1"/>
          <w:sz w:val="22"/>
          <w:szCs w:val="22"/>
        </w:rPr>
        <w:t xml:space="preserve"> for outside investigators will be reviewed by the data </w:t>
      </w:r>
      <w:r w:rsidR="0094125B" w:rsidRPr="001A60D6">
        <w:rPr>
          <w:rFonts w:ascii="Aptos" w:hAnsi="Aptos"/>
          <w:color w:val="000000" w:themeColor="text1"/>
          <w:sz w:val="22"/>
          <w:szCs w:val="22"/>
        </w:rPr>
        <w:t xml:space="preserve">and materials access committee. </w:t>
      </w:r>
      <w:r w:rsidRPr="001A60D6">
        <w:rPr>
          <w:rFonts w:ascii="Aptos" w:hAnsi="Aptos"/>
          <w:color w:val="000000" w:themeColor="text1"/>
          <w:sz w:val="22"/>
          <w:szCs w:val="22"/>
        </w:rPr>
        <w:t>Linked anonymised data generated during the course of these studies may be shared between investigators. Each local site will hold their own data.</w:t>
      </w:r>
      <w:r w:rsidR="00F64155" w:rsidRPr="001A60D6">
        <w:rPr>
          <w:rFonts w:ascii="Aptos" w:hAnsi="Aptos"/>
          <w:color w:val="000000" w:themeColor="text1"/>
          <w:sz w:val="22"/>
          <w:szCs w:val="22"/>
        </w:rPr>
        <w:t xml:space="preserve"> </w:t>
      </w:r>
    </w:p>
    <w:p w14:paraId="3C2F84E9" w14:textId="77777777" w:rsidR="00FF2DC5" w:rsidRPr="001A60D6" w:rsidRDefault="00577725" w:rsidP="006D7CEC">
      <w:pPr>
        <w:pStyle w:val="Heading2"/>
        <w:jc w:val="both"/>
        <w:rPr>
          <w:rFonts w:ascii="Aptos" w:hAnsi="Aptos"/>
          <w:color w:val="000000" w:themeColor="text1"/>
        </w:rPr>
      </w:pPr>
      <w:bookmarkStart w:id="83" w:name="future-use-of-samples"/>
      <w:bookmarkStart w:id="84" w:name="_Toc188625326"/>
      <w:r w:rsidRPr="1B9F46DA">
        <w:rPr>
          <w:rFonts w:ascii="Aptos" w:hAnsi="Aptos"/>
          <w:color w:val="000000" w:themeColor="text1"/>
        </w:rPr>
        <w:t>Future use of samples</w:t>
      </w:r>
      <w:bookmarkEnd w:id="83"/>
      <w:bookmarkEnd w:id="84"/>
    </w:p>
    <w:p w14:paraId="060AC3E0" w14:textId="77777777" w:rsidR="00FF2DC5" w:rsidRPr="001A60D6" w:rsidRDefault="00577725" w:rsidP="006D7CEC">
      <w:pPr>
        <w:pStyle w:val="FirstParagraph"/>
        <w:jc w:val="both"/>
        <w:rPr>
          <w:rFonts w:ascii="Aptos" w:hAnsi="Aptos"/>
          <w:color w:val="000000" w:themeColor="text1"/>
          <w:sz w:val="22"/>
          <w:szCs w:val="22"/>
        </w:rPr>
      </w:pPr>
      <w:r w:rsidRPr="001A60D6">
        <w:rPr>
          <w:rFonts w:ascii="Aptos" w:hAnsi="Aptos"/>
          <w:color w:val="000000" w:themeColor="text1"/>
          <w:sz w:val="22"/>
          <w:szCs w:val="22"/>
        </w:rPr>
        <w:t>Samples collected will be used for the purpose of this study as stated in the protocol and stored for future use with consent. The standard consent form will request consent from subjects for sample storage and/or export of samples to collaborating institutions for investigations that cannot be performed locally. Any proposed plans to use samples other than for those investigations detailed in this protocol will be approved by the relevant ethics committees.</w:t>
      </w:r>
      <w:r w:rsidR="009057A6" w:rsidRPr="001A60D6">
        <w:rPr>
          <w:rFonts w:ascii="Aptos" w:hAnsi="Aptos"/>
          <w:color w:val="000000" w:themeColor="text1"/>
          <w:sz w:val="22"/>
          <w:szCs w:val="22"/>
        </w:rPr>
        <w:t xml:space="preserve"> </w:t>
      </w:r>
      <w:r w:rsidRPr="001A60D6">
        <w:rPr>
          <w:rFonts w:ascii="Aptos" w:hAnsi="Aptos"/>
          <w:color w:val="000000" w:themeColor="text1"/>
          <w:sz w:val="22"/>
          <w:szCs w:val="22"/>
        </w:rPr>
        <w:t>Data may be used alone or in combination with data from related studies in secondary analyses.</w:t>
      </w:r>
    </w:p>
    <w:p w14:paraId="66092B0F" w14:textId="77777777" w:rsidR="00FF2DC5" w:rsidRPr="001A60D6" w:rsidRDefault="00577725" w:rsidP="006D7CEC">
      <w:pPr>
        <w:pStyle w:val="BodyText"/>
        <w:jc w:val="both"/>
        <w:rPr>
          <w:rFonts w:ascii="Aptos" w:hAnsi="Aptos"/>
          <w:color w:val="000000" w:themeColor="text1"/>
          <w:sz w:val="22"/>
          <w:szCs w:val="22"/>
        </w:rPr>
      </w:pPr>
      <w:r w:rsidRPr="001A60D6">
        <w:rPr>
          <w:rFonts w:ascii="Aptos" w:hAnsi="Aptos"/>
          <w:color w:val="000000" w:themeColor="text1"/>
          <w:sz w:val="22"/>
          <w:szCs w:val="22"/>
        </w:rPr>
        <w:t>This study will adhere to the research policies of ISARIC (International Severe Acute Respiratory and Emerging Infection Consortium, www.isaric.org). A fundamental principle of this work is that clinical investigators contributing to research efforts, often in extremely difficult circumstances, must be given full recognition for their efforts and the opportunity to access data and samples. Ownership of any data transferred to the centralised database will be retained by the site that contributed it. All analysis of pooled data will be undertaken with the explicit agreement of each site who contributed.</w:t>
      </w:r>
    </w:p>
    <w:p w14:paraId="08C5D19E" w14:textId="77777777" w:rsidR="00FF2DC5" w:rsidRPr="001A60D6" w:rsidRDefault="00577725">
      <w:pPr>
        <w:pStyle w:val="Heading1"/>
        <w:rPr>
          <w:rFonts w:ascii="Aptos" w:hAnsi="Aptos"/>
          <w:color w:val="000000" w:themeColor="text1"/>
        </w:rPr>
      </w:pPr>
      <w:bookmarkStart w:id="85" w:name="ethical-considerations"/>
      <w:bookmarkStart w:id="86" w:name="_Toc188625327"/>
      <w:r w:rsidRPr="1B9F46DA">
        <w:rPr>
          <w:rFonts w:ascii="Aptos" w:hAnsi="Aptos"/>
          <w:color w:val="000000" w:themeColor="text1"/>
        </w:rPr>
        <w:t>Ethical considerations</w:t>
      </w:r>
      <w:bookmarkEnd w:id="85"/>
      <w:bookmarkEnd w:id="86"/>
    </w:p>
    <w:p w14:paraId="280754D8" w14:textId="77777777" w:rsidR="00FF2DC5" w:rsidRPr="001A60D6" w:rsidRDefault="00577725">
      <w:pPr>
        <w:pStyle w:val="Heading2"/>
        <w:rPr>
          <w:rFonts w:ascii="Aptos" w:hAnsi="Aptos"/>
          <w:color w:val="000000" w:themeColor="text1"/>
        </w:rPr>
      </w:pPr>
      <w:bookmarkStart w:id="87" w:name="informed-consent"/>
      <w:bookmarkStart w:id="88" w:name="_Toc188625328"/>
      <w:r w:rsidRPr="1B9F46DA">
        <w:rPr>
          <w:rFonts w:ascii="Aptos" w:hAnsi="Aptos"/>
          <w:color w:val="000000" w:themeColor="text1"/>
        </w:rPr>
        <w:t>Informed consent</w:t>
      </w:r>
      <w:bookmarkEnd w:id="87"/>
      <w:bookmarkEnd w:id="88"/>
    </w:p>
    <w:p w14:paraId="3C4EB005" w14:textId="71048322" w:rsidR="001146FB" w:rsidRPr="001A60D6" w:rsidRDefault="00577725" w:rsidP="006D7CEC">
      <w:pPr>
        <w:pStyle w:val="FirstParagraph"/>
        <w:jc w:val="both"/>
        <w:rPr>
          <w:rFonts w:ascii="Aptos" w:hAnsi="Aptos"/>
          <w:color w:val="000000" w:themeColor="text1"/>
          <w:sz w:val="22"/>
          <w:szCs w:val="22"/>
        </w:rPr>
      </w:pPr>
      <w:r w:rsidRPr="001A60D6">
        <w:rPr>
          <w:rFonts w:ascii="Aptos" w:hAnsi="Aptos"/>
          <w:color w:val="000000" w:themeColor="text1"/>
          <w:sz w:val="22"/>
          <w:szCs w:val="22"/>
        </w:rPr>
        <w:t>Where participants lack capacity to consent due to altered mental state, critical illness or coma, a</w:t>
      </w:r>
      <w:r w:rsidR="008D3E11" w:rsidRPr="001A60D6">
        <w:rPr>
          <w:rFonts w:ascii="Aptos" w:hAnsi="Aptos"/>
          <w:color w:val="000000" w:themeColor="text1"/>
          <w:sz w:val="22"/>
          <w:szCs w:val="22"/>
        </w:rPr>
        <w:t xml:space="preserve"> personal </w:t>
      </w:r>
      <w:r w:rsidRPr="001A60D6">
        <w:rPr>
          <w:rFonts w:ascii="Aptos" w:hAnsi="Aptos"/>
          <w:color w:val="000000" w:themeColor="text1"/>
          <w:sz w:val="22"/>
          <w:szCs w:val="22"/>
        </w:rPr>
        <w:t>consultee will be asked to provide</w:t>
      </w:r>
      <w:r w:rsidR="008D3E11" w:rsidRPr="001A60D6">
        <w:rPr>
          <w:rFonts w:ascii="Aptos" w:hAnsi="Aptos"/>
          <w:color w:val="000000" w:themeColor="text1"/>
          <w:sz w:val="22"/>
          <w:szCs w:val="22"/>
        </w:rPr>
        <w:t xml:space="preserve"> advice for the patient (aged 16 or over) to</w:t>
      </w:r>
      <w:r w:rsidRPr="001A60D6">
        <w:rPr>
          <w:rFonts w:ascii="Aptos" w:hAnsi="Aptos"/>
          <w:color w:val="000000" w:themeColor="text1"/>
          <w:sz w:val="22"/>
          <w:szCs w:val="22"/>
        </w:rPr>
        <w:t xml:space="preserve"> participate on behalf of the patient, </w:t>
      </w:r>
      <w:r w:rsidR="008D3E11" w:rsidRPr="001A60D6">
        <w:rPr>
          <w:rFonts w:ascii="Aptos" w:hAnsi="Aptos"/>
          <w:color w:val="000000" w:themeColor="text1"/>
          <w:sz w:val="22"/>
          <w:szCs w:val="22"/>
        </w:rPr>
        <w:t xml:space="preserve">based on the patient’s presumed wishes and feelings </w:t>
      </w:r>
      <w:r w:rsidRPr="001A60D6">
        <w:rPr>
          <w:rFonts w:ascii="Aptos" w:hAnsi="Aptos"/>
          <w:color w:val="000000" w:themeColor="text1"/>
          <w:sz w:val="22"/>
          <w:szCs w:val="22"/>
        </w:rPr>
        <w:t>according to local laws and guidelines</w:t>
      </w:r>
      <w:r w:rsidR="0006194D" w:rsidRPr="001A60D6">
        <w:rPr>
          <w:rFonts w:ascii="Aptos" w:hAnsi="Aptos"/>
          <w:color w:val="000000" w:themeColor="text1"/>
          <w:sz w:val="22"/>
          <w:szCs w:val="22"/>
        </w:rPr>
        <w:t xml:space="preserve">, </w:t>
      </w:r>
      <w:r w:rsidR="001146FB" w:rsidRPr="001A60D6">
        <w:rPr>
          <w:rFonts w:ascii="Aptos" w:hAnsi="Aptos"/>
          <w:color w:val="000000" w:themeColor="text1"/>
          <w:sz w:val="22"/>
          <w:szCs w:val="22"/>
        </w:rPr>
        <w:t xml:space="preserve">namely: the </w:t>
      </w:r>
      <w:r w:rsidR="001146FB" w:rsidRPr="001A60D6">
        <w:rPr>
          <w:rFonts w:ascii="Aptos" w:hAnsi="Aptos"/>
          <w:color w:val="000000" w:themeColor="text1"/>
          <w:sz w:val="22"/>
          <w:szCs w:val="22"/>
          <w:highlight w:val="yellow"/>
        </w:rPr>
        <w:t>Adults with Incapacity Act (2000) Scotland, the Mental Capacity Act 2005 (England and Wales) 2005 and the Mental Capacity Act (Northern Ireland) 2016</w:t>
      </w:r>
      <w:r w:rsidR="00966B90" w:rsidRPr="001A60D6">
        <w:rPr>
          <w:rFonts w:ascii="Aptos" w:hAnsi="Aptos"/>
          <w:color w:val="000000" w:themeColor="text1"/>
          <w:sz w:val="22"/>
          <w:szCs w:val="22"/>
          <w:highlight w:val="yellow"/>
        </w:rPr>
        <w:t xml:space="preserve"> </w:t>
      </w:r>
      <w:r w:rsidR="00966B90" w:rsidRPr="001A60D6">
        <w:rPr>
          <w:rFonts w:ascii="Aptos" w:hAnsi="Aptos"/>
          <w:color w:val="000000" w:themeColor="text1"/>
          <w:sz w:val="22"/>
          <w:szCs w:val="22"/>
        </w:rPr>
        <w:t>and any local regulations for international centres.</w:t>
      </w:r>
    </w:p>
    <w:p w14:paraId="31C38995" w14:textId="4C5961DE" w:rsidR="00045EA3" w:rsidRPr="001A60D6" w:rsidRDefault="00045EA3" w:rsidP="00CA6DA3">
      <w:pPr>
        <w:pStyle w:val="BodyText"/>
        <w:jc w:val="both"/>
        <w:rPr>
          <w:rFonts w:ascii="Aptos" w:hAnsi="Aptos"/>
          <w:color w:val="000000" w:themeColor="text1"/>
          <w:sz w:val="22"/>
          <w:szCs w:val="22"/>
        </w:rPr>
      </w:pPr>
      <w:r w:rsidRPr="1B9F46DA">
        <w:rPr>
          <w:rFonts w:ascii="Aptos" w:hAnsi="Aptos"/>
          <w:color w:val="000000" w:themeColor="text1"/>
          <w:sz w:val="22"/>
          <w:szCs w:val="22"/>
          <w:highlight w:val="yellow"/>
        </w:rPr>
        <w:t xml:space="preserve">Parents or guardians of children under the age of 16 will give consent for their child. Study staff obtaining consent will consider the ability of the child to understand the basic principles of the study and will discuss the study with the child in </w:t>
      </w:r>
      <w:r w:rsidR="30B99548" w:rsidRPr="1B9F46DA">
        <w:rPr>
          <w:rFonts w:ascii="Aptos" w:hAnsi="Aptos"/>
          <w:color w:val="000000" w:themeColor="text1"/>
          <w:sz w:val="22"/>
          <w:szCs w:val="22"/>
          <w:highlight w:val="yellow"/>
        </w:rPr>
        <w:t>age-appropriate</w:t>
      </w:r>
      <w:r w:rsidRPr="1B9F46DA">
        <w:rPr>
          <w:rFonts w:ascii="Aptos" w:hAnsi="Aptos"/>
          <w:color w:val="000000" w:themeColor="text1"/>
          <w:sz w:val="22"/>
          <w:szCs w:val="22"/>
          <w:highlight w:val="yellow"/>
        </w:rPr>
        <w:t xml:space="preserve"> language. Where appropriate, children will be invited to give assent, which will be recorded on the relevant assent form. The right to withdraw at any time without negative impact will be reinforced with the child and their parent/guardian.</w:t>
      </w:r>
      <w:r w:rsidRPr="1B9F46DA">
        <w:rPr>
          <w:rFonts w:ascii="Aptos" w:hAnsi="Aptos"/>
          <w:sz w:val="22"/>
          <w:szCs w:val="22"/>
          <w:highlight w:val="yellow"/>
        </w:rPr>
        <w:t xml:space="preserve"> </w:t>
      </w:r>
      <w:r w:rsidRPr="1B9F46DA">
        <w:rPr>
          <w:rFonts w:ascii="Aptos" w:hAnsi="Aptos"/>
          <w:color w:val="000000" w:themeColor="text1"/>
          <w:sz w:val="22"/>
          <w:szCs w:val="22"/>
          <w:highlight w:val="yellow"/>
        </w:rPr>
        <w:t xml:space="preserve">Where a young person reaches the age of </w:t>
      </w:r>
      <w:r w:rsidR="00DD01FA" w:rsidRPr="1B9F46DA">
        <w:rPr>
          <w:rFonts w:ascii="Aptos" w:hAnsi="Aptos"/>
          <w:color w:val="000000" w:themeColor="text1"/>
          <w:sz w:val="22"/>
          <w:szCs w:val="22"/>
          <w:highlight w:val="yellow"/>
        </w:rPr>
        <w:t>16 and were recruited as a child, an attempt will be made to contact them to request continued consent for data linkage to health records. If consent can’t be obtained, then data linkage will cease at age 16. The GenOMICC central management team will alert research sites to any instance of a child reaching 16 to discuss how best to approach re-consent.</w:t>
      </w:r>
    </w:p>
    <w:p w14:paraId="3581E3D5" w14:textId="77777777" w:rsidR="00FF2DC5" w:rsidRPr="001A60D6" w:rsidRDefault="00577725" w:rsidP="006D7CEC">
      <w:pPr>
        <w:pStyle w:val="BodyText"/>
        <w:jc w:val="both"/>
        <w:rPr>
          <w:rFonts w:ascii="Aptos" w:hAnsi="Aptos"/>
          <w:color w:val="000000" w:themeColor="text1"/>
          <w:sz w:val="22"/>
          <w:szCs w:val="22"/>
        </w:rPr>
      </w:pPr>
      <w:r w:rsidRPr="001A60D6">
        <w:rPr>
          <w:rFonts w:ascii="Aptos" w:hAnsi="Aptos"/>
          <w:color w:val="000000" w:themeColor="text1"/>
          <w:sz w:val="22"/>
          <w:szCs w:val="22"/>
        </w:rPr>
        <w:t>Illiterate participants will have the consent form read in the presence of a witness, who will sign to verify the accurate reading of the form and agreement of the participant. For participants who cannot understand the language of the available forms, verified translations will be made when possible. If it is not possible to prepare a translation in a required language, verbal translation of the document and the consent discussion (if required) will be used. In this case, the translator may act as the witness for consent and sign the consent form so that patients who cannot read the language of the forms are not excluded from this research.</w:t>
      </w:r>
    </w:p>
    <w:p w14:paraId="0837EB57" w14:textId="573477CF" w:rsidR="00D4000E" w:rsidRPr="001A60D6" w:rsidRDefault="00577725" w:rsidP="006D7CEC">
      <w:pPr>
        <w:pStyle w:val="BodyText"/>
        <w:jc w:val="both"/>
        <w:rPr>
          <w:rFonts w:ascii="Aptos" w:hAnsi="Aptos"/>
          <w:color w:val="000000" w:themeColor="text1"/>
          <w:sz w:val="22"/>
          <w:szCs w:val="22"/>
        </w:rPr>
      </w:pPr>
      <w:r w:rsidRPr="001A60D6">
        <w:rPr>
          <w:rFonts w:ascii="Aptos" w:hAnsi="Aptos"/>
          <w:color w:val="000000" w:themeColor="text1"/>
          <w:sz w:val="22"/>
          <w:szCs w:val="22"/>
        </w:rPr>
        <w:t>A copy of the informed consent form will be given to the person who gives consent.</w:t>
      </w:r>
    </w:p>
    <w:p w14:paraId="64B5DBAD" w14:textId="77777777" w:rsidR="00FF2DC5" w:rsidRPr="001A60D6" w:rsidRDefault="00577725" w:rsidP="006D7CEC">
      <w:pPr>
        <w:pStyle w:val="Heading3"/>
        <w:jc w:val="both"/>
        <w:rPr>
          <w:rFonts w:ascii="Aptos" w:hAnsi="Aptos"/>
          <w:color w:val="000000" w:themeColor="text1"/>
        </w:rPr>
      </w:pPr>
      <w:bookmarkStart w:id="89" w:name="X648a86c0104ccd2aee31d068033bcde63fd830c"/>
      <w:bookmarkStart w:id="90" w:name="_Toc188625329"/>
      <w:r w:rsidRPr="1B9F46DA">
        <w:rPr>
          <w:rFonts w:ascii="Aptos" w:hAnsi="Aptos"/>
          <w:color w:val="000000" w:themeColor="text1"/>
        </w:rPr>
        <w:t>Patients unable to consent for themselves</w:t>
      </w:r>
      <w:bookmarkEnd w:id="89"/>
      <w:bookmarkEnd w:id="90"/>
    </w:p>
    <w:p w14:paraId="2FB9717D" w14:textId="0ADFE4B5" w:rsidR="00FF2DC5" w:rsidRPr="001A60D6" w:rsidRDefault="00577725" w:rsidP="006D7CEC">
      <w:pPr>
        <w:pStyle w:val="FirstParagraph"/>
        <w:jc w:val="both"/>
        <w:rPr>
          <w:rFonts w:ascii="Aptos" w:hAnsi="Aptos"/>
          <w:color w:val="000000" w:themeColor="text1"/>
          <w:sz w:val="22"/>
          <w:szCs w:val="22"/>
        </w:rPr>
      </w:pPr>
      <w:r w:rsidRPr="001A60D6">
        <w:rPr>
          <w:rFonts w:ascii="Aptos" w:hAnsi="Aptos"/>
          <w:color w:val="000000" w:themeColor="text1"/>
          <w:sz w:val="22"/>
          <w:szCs w:val="22"/>
        </w:rPr>
        <w:t xml:space="preserve">It is anticipated that, in many cases, illness may be severe and patients may not be able to consent for themselves. This study aims to improve understanding, and ultimately treatment, of life-threatening disease.  </w:t>
      </w:r>
      <w:r w:rsidR="002408D5" w:rsidRPr="001A60D6">
        <w:rPr>
          <w:rFonts w:ascii="Aptos" w:hAnsi="Aptos"/>
          <w:color w:val="000000" w:themeColor="text1"/>
          <w:sz w:val="22"/>
          <w:szCs w:val="22"/>
        </w:rPr>
        <w:t>T</w:t>
      </w:r>
      <w:r w:rsidRPr="001A60D6">
        <w:rPr>
          <w:rFonts w:ascii="Aptos" w:hAnsi="Aptos"/>
          <w:color w:val="000000" w:themeColor="text1"/>
          <w:sz w:val="22"/>
          <w:szCs w:val="22"/>
        </w:rPr>
        <w:t>o do this, there is no option but to study patients who are extremely unwell. In the event that an eligible patient</w:t>
      </w:r>
      <w:r w:rsidR="0006194D" w:rsidRPr="001A60D6">
        <w:rPr>
          <w:rFonts w:ascii="Aptos" w:hAnsi="Aptos"/>
          <w:color w:val="000000" w:themeColor="text1"/>
          <w:sz w:val="22"/>
          <w:szCs w:val="22"/>
        </w:rPr>
        <w:t xml:space="preserve"> (aged 16 or over)</w:t>
      </w:r>
      <w:r w:rsidRPr="001A60D6">
        <w:rPr>
          <w:rFonts w:ascii="Aptos" w:hAnsi="Aptos"/>
          <w:color w:val="000000" w:themeColor="text1"/>
          <w:sz w:val="22"/>
          <w:szCs w:val="22"/>
        </w:rPr>
        <w:t xml:space="preserve"> is unable to consent for herself/himself we will </w:t>
      </w:r>
      <w:r w:rsidR="0006194D" w:rsidRPr="001A60D6">
        <w:rPr>
          <w:rFonts w:ascii="Aptos" w:hAnsi="Aptos"/>
          <w:color w:val="000000" w:themeColor="text1"/>
          <w:sz w:val="22"/>
          <w:szCs w:val="22"/>
        </w:rPr>
        <w:t xml:space="preserve">consult with a personal </w:t>
      </w:r>
      <w:r w:rsidR="00165D2F" w:rsidRPr="001A60D6">
        <w:rPr>
          <w:rFonts w:ascii="Aptos" w:hAnsi="Aptos"/>
          <w:color w:val="000000" w:themeColor="text1"/>
          <w:sz w:val="22"/>
          <w:szCs w:val="22"/>
        </w:rPr>
        <w:t xml:space="preserve">or professional </w:t>
      </w:r>
      <w:r w:rsidR="0006194D" w:rsidRPr="001A60D6">
        <w:rPr>
          <w:rFonts w:ascii="Aptos" w:hAnsi="Aptos"/>
          <w:color w:val="000000" w:themeColor="text1"/>
          <w:sz w:val="22"/>
          <w:szCs w:val="22"/>
        </w:rPr>
        <w:t xml:space="preserve">consultee </w:t>
      </w:r>
      <w:r w:rsidR="0006194D" w:rsidRPr="001A60D6">
        <w:rPr>
          <w:rFonts w:ascii="Aptos" w:hAnsi="Aptos"/>
          <w:color w:val="000000" w:themeColor="text1"/>
          <w:sz w:val="22"/>
          <w:szCs w:val="22"/>
          <w:highlight w:val="yellow"/>
        </w:rPr>
        <w:t>(in compliance with the Mental Capacity Act 2005 (England and Wales) and the Mental Capacity Act (Northern Ireland) 2016</w:t>
      </w:r>
      <w:r w:rsidR="00940B80" w:rsidRPr="001A60D6">
        <w:rPr>
          <w:rFonts w:ascii="Aptos" w:hAnsi="Aptos"/>
          <w:color w:val="000000" w:themeColor="text1"/>
          <w:sz w:val="22"/>
          <w:szCs w:val="22"/>
          <w:highlight w:val="yellow"/>
        </w:rPr>
        <w:t xml:space="preserve"> and </w:t>
      </w:r>
      <w:r w:rsidR="00940B80" w:rsidRPr="001A60D6">
        <w:rPr>
          <w:rFonts w:ascii="Aptos" w:hAnsi="Aptos"/>
          <w:sz w:val="22"/>
          <w:szCs w:val="22"/>
          <w:highlight w:val="yellow"/>
        </w:rPr>
        <w:t xml:space="preserve">the </w:t>
      </w:r>
      <w:r w:rsidR="002408D5" w:rsidRPr="001A60D6">
        <w:rPr>
          <w:rFonts w:ascii="Aptos" w:hAnsi="Aptos"/>
          <w:sz w:val="22"/>
          <w:szCs w:val="22"/>
          <w:highlight w:val="yellow"/>
        </w:rPr>
        <w:t>Adults with</w:t>
      </w:r>
      <w:r w:rsidR="00940B80" w:rsidRPr="001A60D6">
        <w:rPr>
          <w:rFonts w:ascii="Aptos" w:hAnsi="Aptos"/>
          <w:sz w:val="22"/>
          <w:szCs w:val="22"/>
          <w:highlight w:val="yellow"/>
        </w:rPr>
        <w:t xml:space="preserve"> Incapacity Act (2000) Scotland</w:t>
      </w:r>
      <w:r w:rsidR="0006194D" w:rsidRPr="001A60D6">
        <w:rPr>
          <w:rFonts w:ascii="Aptos" w:hAnsi="Aptos"/>
          <w:color w:val="000000" w:themeColor="text1"/>
          <w:sz w:val="22"/>
          <w:szCs w:val="22"/>
          <w:highlight w:val="yellow"/>
        </w:rPr>
        <w:t xml:space="preserve"> on the patient’s presumed wishes and feelings) </w:t>
      </w:r>
      <w:r w:rsidR="00966B90" w:rsidRPr="001A60D6">
        <w:rPr>
          <w:rFonts w:ascii="Aptos" w:hAnsi="Aptos"/>
          <w:color w:val="000000" w:themeColor="text1"/>
          <w:sz w:val="22"/>
          <w:szCs w:val="22"/>
          <w:highlight w:val="yellow"/>
        </w:rPr>
        <w:t xml:space="preserve">and any local regulations for international centres, </w:t>
      </w:r>
      <w:r w:rsidR="0006194D" w:rsidRPr="001A60D6">
        <w:rPr>
          <w:rFonts w:ascii="Aptos" w:hAnsi="Aptos"/>
          <w:color w:val="000000" w:themeColor="text1"/>
          <w:sz w:val="22"/>
          <w:szCs w:val="22"/>
          <w:highlight w:val="yellow"/>
        </w:rPr>
        <w:t>before taking any samples for research.</w:t>
      </w:r>
    </w:p>
    <w:p w14:paraId="784382A0" w14:textId="54EFC42C" w:rsidR="00FF2DC5" w:rsidRPr="001A60D6" w:rsidRDefault="00577725">
      <w:pPr>
        <w:pStyle w:val="Heading3"/>
        <w:rPr>
          <w:rFonts w:ascii="Aptos" w:hAnsi="Aptos"/>
          <w:color w:val="000000" w:themeColor="text1"/>
        </w:rPr>
      </w:pPr>
      <w:bookmarkStart w:id="91" w:name="immediate-consent"/>
      <w:bookmarkStart w:id="92" w:name="_Toc188625330"/>
      <w:r w:rsidRPr="1B9F46DA">
        <w:rPr>
          <w:rFonts w:ascii="Aptos" w:hAnsi="Aptos"/>
          <w:color w:val="000000" w:themeColor="text1"/>
        </w:rPr>
        <w:t>Immediate consent</w:t>
      </w:r>
      <w:bookmarkEnd w:id="91"/>
      <w:r w:rsidR="00D4000E" w:rsidRPr="1B9F46DA">
        <w:rPr>
          <w:rFonts w:ascii="Aptos" w:hAnsi="Aptos"/>
          <w:color w:val="000000" w:themeColor="text1"/>
        </w:rPr>
        <w:t xml:space="preserve"> / immediate declaration</w:t>
      </w:r>
      <w:bookmarkEnd w:id="92"/>
    </w:p>
    <w:p w14:paraId="50F7397F" w14:textId="77777777" w:rsidR="00FF2DC5" w:rsidRPr="001A60D6" w:rsidRDefault="00577725" w:rsidP="00611F1A">
      <w:pPr>
        <w:pStyle w:val="FirstParagraph"/>
        <w:jc w:val="both"/>
        <w:rPr>
          <w:rFonts w:ascii="Aptos" w:hAnsi="Aptos"/>
          <w:color w:val="000000" w:themeColor="text1"/>
          <w:sz w:val="22"/>
          <w:szCs w:val="22"/>
        </w:rPr>
      </w:pPr>
      <w:r w:rsidRPr="001A60D6">
        <w:rPr>
          <w:rFonts w:ascii="Aptos" w:hAnsi="Aptos"/>
          <w:color w:val="000000" w:themeColor="text1"/>
          <w:sz w:val="22"/>
          <w:szCs w:val="22"/>
        </w:rPr>
        <w:t>Potential participants/representatives will be given as long as they require to decide if they wish to take part. For repeat sampling, and where possible for prospective recruitment, patients or representatives will be given at least 24hrs to consider participation. In some cases, it may be necessary to respect the convenience of distressed critically ill patients, or their relatives or representatives, by giving them the option of consenting immediately to participate.</w:t>
      </w:r>
    </w:p>
    <w:p w14:paraId="13DF2E5B" w14:textId="77777777" w:rsidR="00623F73" w:rsidRPr="001A60D6" w:rsidRDefault="00623F73" w:rsidP="00CA6DA3">
      <w:pPr>
        <w:pStyle w:val="Heading3"/>
        <w:rPr>
          <w:rFonts w:ascii="Aptos" w:hAnsi="Aptos"/>
        </w:rPr>
      </w:pPr>
      <w:bookmarkStart w:id="93" w:name="_Toc181256595"/>
      <w:bookmarkStart w:id="94" w:name="_Toc188625331"/>
      <w:r w:rsidRPr="1B9F46DA">
        <w:rPr>
          <w:rFonts w:ascii="Aptos" w:hAnsi="Aptos"/>
        </w:rPr>
        <w:t>Deferred consent</w:t>
      </w:r>
      <w:bookmarkEnd w:id="93"/>
      <w:bookmarkEnd w:id="94"/>
    </w:p>
    <w:p w14:paraId="74020B68" w14:textId="286ADD7A" w:rsidR="00623F73" w:rsidRPr="001A60D6" w:rsidRDefault="0009320F" w:rsidP="006D7CEC">
      <w:pPr>
        <w:pStyle w:val="BodyText"/>
        <w:jc w:val="both"/>
        <w:rPr>
          <w:rFonts w:ascii="Aptos" w:hAnsi="Aptos"/>
          <w:sz w:val="22"/>
          <w:szCs w:val="22"/>
        </w:rPr>
      </w:pPr>
      <w:r>
        <w:rPr>
          <w:rFonts w:ascii="Aptos" w:hAnsi="Aptos"/>
          <w:sz w:val="22"/>
          <w:szCs w:val="22"/>
        </w:rPr>
        <w:t>Where permissible</w:t>
      </w:r>
      <w:r w:rsidR="00623F73" w:rsidRPr="1B9F46DA">
        <w:rPr>
          <w:rFonts w:ascii="Aptos" w:hAnsi="Aptos"/>
          <w:sz w:val="22"/>
          <w:szCs w:val="22"/>
        </w:rPr>
        <w:t xml:space="preserve">, a deferred consent process can be applied. In these </w:t>
      </w:r>
      <w:r w:rsidRPr="1B9F46DA">
        <w:rPr>
          <w:rFonts w:ascii="Aptos" w:hAnsi="Aptos"/>
          <w:sz w:val="22"/>
          <w:szCs w:val="22"/>
        </w:rPr>
        <w:t>cases,</w:t>
      </w:r>
      <w:r w:rsidR="00623F73" w:rsidRPr="1B9F46DA">
        <w:rPr>
          <w:rFonts w:ascii="Aptos" w:hAnsi="Aptos"/>
          <w:sz w:val="22"/>
          <w:szCs w:val="22"/>
        </w:rPr>
        <w:t xml:space="preserve"> a sample will be taken as described in the sampling details section above on page 1</w:t>
      </w:r>
      <w:r w:rsidR="003C7999">
        <w:rPr>
          <w:rFonts w:ascii="Aptos" w:hAnsi="Aptos"/>
          <w:sz w:val="22"/>
          <w:szCs w:val="22"/>
        </w:rPr>
        <w:t>6</w:t>
      </w:r>
      <w:r w:rsidR="00623F73" w:rsidRPr="1B9F46DA">
        <w:rPr>
          <w:rFonts w:ascii="Aptos" w:hAnsi="Aptos"/>
          <w:sz w:val="22"/>
          <w:szCs w:val="22"/>
        </w:rPr>
        <w:t>, from any patient meeting the entry criteria. The sample will be held at the recruiting site for up to 7 days pending appropriate consent. No samples will be transferred to the central laboratory for testing, or stored at site beyond 7 days, without consent having first been obtained.</w:t>
      </w:r>
    </w:p>
    <w:p w14:paraId="3765A344" w14:textId="449E2DA7" w:rsidR="0015057B" w:rsidRPr="001A60D6" w:rsidRDefault="0015057B" w:rsidP="0015057B">
      <w:pPr>
        <w:pStyle w:val="Heading3"/>
        <w:rPr>
          <w:rFonts w:ascii="Aptos" w:hAnsi="Aptos"/>
          <w:color w:val="000000" w:themeColor="text1"/>
        </w:rPr>
      </w:pPr>
      <w:bookmarkStart w:id="95" w:name="_Toc188625332"/>
      <w:r w:rsidRPr="1B9F46DA">
        <w:rPr>
          <w:rFonts w:ascii="Aptos" w:hAnsi="Aptos"/>
          <w:color w:val="000000" w:themeColor="text1"/>
        </w:rPr>
        <w:t>Telephone consent</w:t>
      </w:r>
      <w:r w:rsidR="00D4000E" w:rsidRPr="1B9F46DA">
        <w:rPr>
          <w:rFonts w:ascii="Aptos" w:hAnsi="Aptos"/>
          <w:color w:val="000000" w:themeColor="text1"/>
        </w:rPr>
        <w:t xml:space="preserve"> / immediate declaration</w:t>
      </w:r>
      <w:bookmarkEnd w:id="95"/>
    </w:p>
    <w:p w14:paraId="51353148" w14:textId="78CE80D4" w:rsidR="00E942E4" w:rsidRPr="001A60D6" w:rsidRDefault="00E942E4" w:rsidP="00611F1A">
      <w:pPr>
        <w:pStyle w:val="BodyText"/>
        <w:jc w:val="both"/>
        <w:rPr>
          <w:rFonts w:ascii="Aptos" w:hAnsi="Aptos"/>
          <w:color w:val="000000" w:themeColor="text1"/>
          <w:sz w:val="22"/>
          <w:szCs w:val="22"/>
        </w:rPr>
      </w:pPr>
      <w:r w:rsidRPr="001A60D6">
        <w:rPr>
          <w:rFonts w:ascii="Aptos" w:hAnsi="Aptos"/>
          <w:color w:val="000000" w:themeColor="text1"/>
          <w:sz w:val="22"/>
          <w:szCs w:val="22"/>
        </w:rPr>
        <w:t xml:space="preserve">This study aims to explain, and ultimately to improve treatment of, extreme susceptibility to life-threatening disease. It is therefore essential that the most susceptible, and hence the most unwell, patients are able to participate. Sadly, many of the sickest patients have a precipitous decline in the first 24hrs in critical care, so it is often impractical to discuss recruitment in person with a personal consultee. For this reason, we will offer appropriate individuals the opportunity to provide advice over the telephone to a member of the local clinical </w:t>
      </w:r>
      <w:r w:rsidR="004C26B0" w:rsidRPr="001A60D6">
        <w:rPr>
          <w:rFonts w:ascii="Aptos" w:hAnsi="Aptos"/>
          <w:color w:val="000000" w:themeColor="text1"/>
          <w:sz w:val="22"/>
          <w:szCs w:val="22"/>
        </w:rPr>
        <w:t xml:space="preserve">or research </w:t>
      </w:r>
      <w:r w:rsidRPr="001A60D6">
        <w:rPr>
          <w:rFonts w:ascii="Aptos" w:hAnsi="Aptos"/>
          <w:color w:val="000000" w:themeColor="text1"/>
          <w:sz w:val="22"/>
          <w:szCs w:val="22"/>
        </w:rPr>
        <w:t xml:space="preserve">team. </w:t>
      </w:r>
    </w:p>
    <w:p w14:paraId="00B07F3C" w14:textId="11881BBE" w:rsidR="00E942E4" w:rsidRPr="001A60D6" w:rsidRDefault="00E942E4" w:rsidP="00611F1A">
      <w:pPr>
        <w:pStyle w:val="BodyText"/>
        <w:jc w:val="both"/>
        <w:rPr>
          <w:rFonts w:ascii="Aptos" w:hAnsi="Aptos"/>
          <w:color w:val="000000" w:themeColor="text1"/>
          <w:sz w:val="22"/>
          <w:szCs w:val="22"/>
        </w:rPr>
      </w:pPr>
      <w:r w:rsidRPr="001A60D6">
        <w:rPr>
          <w:rFonts w:ascii="Aptos" w:hAnsi="Aptos"/>
          <w:color w:val="000000" w:themeColor="text1"/>
          <w:sz w:val="22"/>
          <w:szCs w:val="22"/>
        </w:rPr>
        <w:t xml:space="preserve">Telephone consent </w:t>
      </w:r>
      <w:r w:rsidR="00D4000E" w:rsidRPr="001A60D6">
        <w:rPr>
          <w:rFonts w:ascii="Aptos" w:hAnsi="Aptos"/>
          <w:color w:val="000000" w:themeColor="text1"/>
          <w:sz w:val="22"/>
          <w:szCs w:val="22"/>
        </w:rPr>
        <w:t xml:space="preserve">or declaration </w:t>
      </w:r>
      <w:r w:rsidRPr="001A60D6">
        <w:rPr>
          <w:rFonts w:ascii="Aptos" w:hAnsi="Aptos"/>
          <w:color w:val="000000" w:themeColor="text1"/>
          <w:sz w:val="22"/>
          <w:szCs w:val="22"/>
        </w:rPr>
        <w:t>will be guided by a script. Personal consultees will be sent the relevant information sheet by email, post, by direction to the study website, or by having the telephone summary information read over the phone to them. The individual taking advice from the consultee consent will create a paper record of the consultee advice which will also be placed on the electronic case record form.</w:t>
      </w:r>
    </w:p>
    <w:p w14:paraId="3AB73A9C" w14:textId="77777777" w:rsidR="00FF2DC5" w:rsidRPr="001A60D6" w:rsidRDefault="00577725">
      <w:pPr>
        <w:pStyle w:val="Heading2"/>
        <w:rPr>
          <w:rFonts w:ascii="Aptos" w:hAnsi="Aptos"/>
          <w:color w:val="000000" w:themeColor="text1"/>
        </w:rPr>
      </w:pPr>
      <w:bookmarkStart w:id="96" w:name="risks-to-participants"/>
      <w:bookmarkStart w:id="97" w:name="_Toc188625333"/>
      <w:r w:rsidRPr="1B9F46DA">
        <w:rPr>
          <w:rFonts w:ascii="Aptos" w:hAnsi="Aptos"/>
          <w:color w:val="000000" w:themeColor="text1"/>
        </w:rPr>
        <w:t>Risks to participants</w:t>
      </w:r>
      <w:bookmarkEnd w:id="96"/>
      <w:bookmarkEnd w:id="97"/>
    </w:p>
    <w:p w14:paraId="22503C1B" w14:textId="77777777" w:rsidR="00FF2DC5" w:rsidRPr="001A60D6" w:rsidRDefault="00577725">
      <w:pPr>
        <w:pStyle w:val="Heading3"/>
        <w:rPr>
          <w:rFonts w:ascii="Aptos" w:hAnsi="Aptos"/>
          <w:color w:val="000000" w:themeColor="text1"/>
        </w:rPr>
      </w:pPr>
      <w:bookmarkStart w:id="98" w:name="inconvenience"/>
      <w:bookmarkStart w:id="99" w:name="_Toc188625334"/>
      <w:r w:rsidRPr="1B9F46DA">
        <w:rPr>
          <w:rFonts w:ascii="Aptos" w:hAnsi="Aptos"/>
          <w:color w:val="000000" w:themeColor="text1"/>
        </w:rPr>
        <w:t>Inconvenience</w:t>
      </w:r>
      <w:bookmarkEnd w:id="98"/>
      <w:bookmarkEnd w:id="99"/>
    </w:p>
    <w:p w14:paraId="7B1E8B95" w14:textId="77777777" w:rsidR="00FF2DC5" w:rsidRPr="001A60D6" w:rsidRDefault="00577725" w:rsidP="00611F1A">
      <w:pPr>
        <w:pStyle w:val="FirstParagraph"/>
        <w:jc w:val="both"/>
        <w:rPr>
          <w:rFonts w:ascii="Aptos" w:hAnsi="Aptos"/>
          <w:color w:val="000000" w:themeColor="text1"/>
          <w:sz w:val="22"/>
          <w:szCs w:val="22"/>
        </w:rPr>
      </w:pPr>
      <w:r w:rsidRPr="001A60D6">
        <w:rPr>
          <w:rFonts w:ascii="Aptos" w:hAnsi="Aptos"/>
          <w:color w:val="000000" w:themeColor="text1"/>
          <w:sz w:val="22"/>
          <w:szCs w:val="22"/>
        </w:rPr>
        <w:t>Participation in this research study poses a minimal risk of inconvenience through attendance of follow-up visits. Appropriate compensation for travel costs to attend follow-up visits and for time of attending visits will be given according to the standard policies of the sponsor.</w:t>
      </w:r>
    </w:p>
    <w:p w14:paraId="5DDDC0AC" w14:textId="77777777" w:rsidR="00FF2DC5" w:rsidRPr="001A60D6" w:rsidRDefault="00577725">
      <w:pPr>
        <w:pStyle w:val="Heading3"/>
        <w:rPr>
          <w:rFonts w:ascii="Aptos" w:hAnsi="Aptos"/>
          <w:color w:val="000000" w:themeColor="text1"/>
        </w:rPr>
      </w:pPr>
      <w:bookmarkStart w:id="100" w:name="phlebotomy"/>
      <w:bookmarkStart w:id="101" w:name="_Toc188625335"/>
      <w:r w:rsidRPr="1B9F46DA">
        <w:rPr>
          <w:rFonts w:ascii="Aptos" w:hAnsi="Aptos"/>
          <w:color w:val="000000" w:themeColor="text1"/>
        </w:rPr>
        <w:t>Phlebotomy</w:t>
      </w:r>
      <w:bookmarkEnd w:id="100"/>
      <w:bookmarkEnd w:id="101"/>
    </w:p>
    <w:p w14:paraId="1F3575E8" w14:textId="77777777" w:rsidR="00FF2DC5" w:rsidRPr="001A60D6" w:rsidRDefault="00577725" w:rsidP="00611F1A">
      <w:pPr>
        <w:pStyle w:val="FirstParagraph"/>
        <w:jc w:val="both"/>
        <w:rPr>
          <w:rFonts w:ascii="Aptos" w:hAnsi="Aptos"/>
          <w:color w:val="000000" w:themeColor="text1"/>
          <w:sz w:val="22"/>
          <w:szCs w:val="22"/>
        </w:rPr>
      </w:pPr>
      <w:r w:rsidRPr="001A60D6">
        <w:rPr>
          <w:rFonts w:ascii="Aptos" w:hAnsi="Aptos"/>
          <w:color w:val="000000" w:themeColor="text1"/>
          <w:sz w:val="22"/>
          <w:szCs w:val="22"/>
        </w:rPr>
        <w:t>Phlebotomy can be associated with pain at the draw site and rarely with infection. Blood draw volumes have been restricted according to weight so that combined clinical and research sampling is within recommended limits. Discomfort will be minimised by having expert staff obtain blood samples, and by combining research sampling with routine clinical sampling where possible.</w:t>
      </w:r>
    </w:p>
    <w:p w14:paraId="60F8FC94" w14:textId="77777777" w:rsidR="00FF2DC5" w:rsidRPr="001A60D6" w:rsidRDefault="007F18D5">
      <w:pPr>
        <w:pStyle w:val="Heading3"/>
        <w:rPr>
          <w:rFonts w:ascii="Aptos" w:hAnsi="Aptos"/>
          <w:color w:val="000000" w:themeColor="text1"/>
        </w:rPr>
      </w:pPr>
      <w:bookmarkStart w:id="102" w:name="incidental-findings-in-genetic-testing"/>
      <w:bookmarkStart w:id="103" w:name="_Toc188625336"/>
      <w:r w:rsidRPr="1B9F46DA">
        <w:rPr>
          <w:rFonts w:ascii="Aptos" w:hAnsi="Aptos"/>
          <w:color w:val="000000" w:themeColor="text1"/>
        </w:rPr>
        <w:t>CLINICALLY-ACTIONABLE</w:t>
      </w:r>
      <w:r w:rsidR="00577725" w:rsidRPr="1B9F46DA">
        <w:rPr>
          <w:rFonts w:ascii="Aptos" w:hAnsi="Aptos"/>
          <w:color w:val="000000" w:themeColor="text1"/>
        </w:rPr>
        <w:t xml:space="preserve"> findings in genetic testing</w:t>
      </w:r>
      <w:bookmarkEnd w:id="102"/>
      <w:bookmarkEnd w:id="103"/>
    </w:p>
    <w:p w14:paraId="4AFE958D" w14:textId="0AC57FCD" w:rsidR="007F18D5" w:rsidRPr="001A60D6" w:rsidRDefault="007F18D5" w:rsidP="00611F1A">
      <w:pPr>
        <w:pStyle w:val="BodyText"/>
        <w:jc w:val="both"/>
        <w:rPr>
          <w:rFonts w:ascii="Aptos" w:hAnsi="Aptos"/>
          <w:color w:val="000000" w:themeColor="text1"/>
          <w:sz w:val="22"/>
          <w:szCs w:val="22"/>
        </w:rPr>
      </w:pPr>
      <w:r w:rsidRPr="001A60D6">
        <w:rPr>
          <w:rFonts w:ascii="Aptos" w:hAnsi="Aptos"/>
          <w:color w:val="000000" w:themeColor="text1"/>
          <w:sz w:val="22"/>
          <w:szCs w:val="22"/>
        </w:rPr>
        <w:t xml:space="preserve">Clinically actionable findings are not expected during the time course of a patient’s illness. It is possible that, in a very small number of participants, the research will identify a genomic finding that explains their severe response and that is relevant to their future medical care e.g., a rare genetic immune deficiency. Where this is the case, </w:t>
      </w:r>
      <w:r w:rsidR="00620079" w:rsidRPr="001A60D6">
        <w:rPr>
          <w:rFonts w:ascii="Aptos" w:hAnsi="Aptos"/>
          <w:color w:val="000000" w:themeColor="text1"/>
          <w:sz w:val="22"/>
          <w:szCs w:val="22"/>
        </w:rPr>
        <w:t>this will be managed locally.</w:t>
      </w:r>
    </w:p>
    <w:p w14:paraId="23BC2F9F" w14:textId="77777777" w:rsidR="00FF2DC5" w:rsidRPr="001A60D6" w:rsidRDefault="00577725">
      <w:pPr>
        <w:pStyle w:val="Heading3"/>
        <w:rPr>
          <w:rFonts w:ascii="Aptos" w:hAnsi="Aptos"/>
          <w:color w:val="000000" w:themeColor="text1"/>
        </w:rPr>
      </w:pPr>
      <w:bookmarkStart w:id="104" w:name="benefits-to-participants"/>
      <w:bookmarkStart w:id="105" w:name="_Toc188625337"/>
      <w:r w:rsidRPr="1B9F46DA">
        <w:rPr>
          <w:rFonts w:ascii="Aptos" w:hAnsi="Aptos"/>
          <w:color w:val="000000" w:themeColor="text1"/>
        </w:rPr>
        <w:t>Benefits to participants</w:t>
      </w:r>
      <w:bookmarkEnd w:id="104"/>
      <w:bookmarkEnd w:id="105"/>
    </w:p>
    <w:p w14:paraId="057BA1BC" w14:textId="71A78131" w:rsidR="000F3F14" w:rsidRPr="001A60D6" w:rsidRDefault="00EA0D47" w:rsidP="00611F1A">
      <w:pPr>
        <w:pStyle w:val="FirstParagraph"/>
        <w:jc w:val="both"/>
        <w:rPr>
          <w:rFonts w:ascii="Aptos" w:hAnsi="Aptos"/>
          <w:color w:val="000000" w:themeColor="text1"/>
          <w:sz w:val="22"/>
          <w:szCs w:val="22"/>
        </w:rPr>
      </w:pPr>
      <w:r w:rsidRPr="001A60D6">
        <w:rPr>
          <w:rFonts w:ascii="Aptos" w:hAnsi="Aptos"/>
          <w:color w:val="000000" w:themeColor="text1"/>
          <w:sz w:val="22"/>
          <w:szCs w:val="22"/>
        </w:rPr>
        <w:t xml:space="preserve">Although there are no direct </w:t>
      </w:r>
      <w:r w:rsidR="000F3F14" w:rsidRPr="001A60D6">
        <w:rPr>
          <w:rFonts w:ascii="Aptos" w:hAnsi="Aptos"/>
          <w:color w:val="000000" w:themeColor="text1"/>
          <w:sz w:val="22"/>
          <w:szCs w:val="22"/>
        </w:rPr>
        <w:t>benefit</w:t>
      </w:r>
      <w:r w:rsidRPr="001A60D6">
        <w:rPr>
          <w:rFonts w:ascii="Aptos" w:hAnsi="Aptos"/>
          <w:color w:val="000000" w:themeColor="text1"/>
          <w:sz w:val="22"/>
          <w:szCs w:val="22"/>
        </w:rPr>
        <w:t>s</w:t>
      </w:r>
      <w:r w:rsidR="000F3F14" w:rsidRPr="001A60D6">
        <w:rPr>
          <w:rFonts w:ascii="Aptos" w:hAnsi="Aptos"/>
          <w:color w:val="000000" w:themeColor="text1"/>
          <w:sz w:val="22"/>
          <w:szCs w:val="22"/>
        </w:rPr>
        <w:t xml:space="preserve"> to research participants</w:t>
      </w:r>
      <w:r w:rsidR="00B7142A" w:rsidRPr="001A60D6">
        <w:rPr>
          <w:rFonts w:ascii="Aptos" w:hAnsi="Aptos"/>
          <w:color w:val="000000" w:themeColor="text1"/>
          <w:sz w:val="22"/>
          <w:szCs w:val="22"/>
        </w:rPr>
        <w:t xml:space="preserve"> in taking part in</w:t>
      </w:r>
      <w:r w:rsidR="00B34596" w:rsidRPr="001A60D6">
        <w:rPr>
          <w:rFonts w:ascii="Aptos" w:hAnsi="Aptos"/>
          <w:color w:val="000000" w:themeColor="text1"/>
          <w:sz w:val="22"/>
          <w:szCs w:val="22"/>
        </w:rPr>
        <w:t xml:space="preserve"> </w:t>
      </w:r>
      <w:r w:rsidR="00B7142A" w:rsidRPr="001A60D6">
        <w:rPr>
          <w:rFonts w:ascii="Aptos" w:hAnsi="Aptos"/>
          <w:color w:val="000000" w:themeColor="text1"/>
          <w:sz w:val="22"/>
          <w:szCs w:val="22"/>
        </w:rPr>
        <w:t>this study, there is a very</w:t>
      </w:r>
      <w:r w:rsidR="00E573B1" w:rsidRPr="001A60D6">
        <w:rPr>
          <w:rFonts w:ascii="Aptos" w:hAnsi="Aptos"/>
          <w:color w:val="000000" w:themeColor="text1"/>
          <w:sz w:val="22"/>
          <w:szCs w:val="22"/>
        </w:rPr>
        <w:t xml:space="preserve"> small </w:t>
      </w:r>
      <w:r w:rsidR="000E64A1" w:rsidRPr="001A60D6">
        <w:rPr>
          <w:rFonts w:ascii="Aptos" w:hAnsi="Aptos"/>
          <w:color w:val="000000" w:themeColor="text1"/>
          <w:sz w:val="22"/>
          <w:szCs w:val="22"/>
        </w:rPr>
        <w:t>possibility</w:t>
      </w:r>
      <w:r w:rsidR="008146B1" w:rsidRPr="001A60D6">
        <w:rPr>
          <w:rFonts w:ascii="Aptos" w:hAnsi="Aptos"/>
          <w:color w:val="000000" w:themeColor="text1"/>
          <w:sz w:val="22"/>
          <w:szCs w:val="22"/>
        </w:rPr>
        <w:t xml:space="preserve"> that </w:t>
      </w:r>
      <w:r w:rsidR="00384E51" w:rsidRPr="001A60D6">
        <w:rPr>
          <w:rFonts w:ascii="Aptos" w:hAnsi="Aptos"/>
          <w:color w:val="000000" w:themeColor="text1"/>
          <w:sz w:val="22"/>
          <w:szCs w:val="22"/>
        </w:rPr>
        <w:t>clinically relevant information could be ide</w:t>
      </w:r>
      <w:r w:rsidR="0067051D" w:rsidRPr="001A60D6">
        <w:rPr>
          <w:rFonts w:ascii="Aptos" w:hAnsi="Aptos"/>
          <w:color w:val="000000" w:themeColor="text1"/>
          <w:sz w:val="22"/>
          <w:szCs w:val="22"/>
        </w:rPr>
        <w:t>ntified</w:t>
      </w:r>
      <w:r w:rsidR="000F3F14" w:rsidRPr="001A60D6">
        <w:rPr>
          <w:rFonts w:ascii="Aptos" w:hAnsi="Aptos"/>
          <w:color w:val="000000" w:themeColor="text1"/>
          <w:sz w:val="22"/>
          <w:szCs w:val="22"/>
        </w:rPr>
        <w:t xml:space="preserve">. </w:t>
      </w:r>
    </w:p>
    <w:p w14:paraId="72F85AE6" w14:textId="77777777" w:rsidR="00FF2DC5" w:rsidRPr="001A60D6" w:rsidRDefault="00577725">
      <w:pPr>
        <w:pStyle w:val="Heading2"/>
        <w:rPr>
          <w:rFonts w:ascii="Aptos" w:hAnsi="Aptos"/>
          <w:color w:val="000000" w:themeColor="text1"/>
        </w:rPr>
      </w:pPr>
      <w:bookmarkStart w:id="106" w:name="X064990dac84e4aa06facc638859805172aef88a"/>
      <w:bookmarkStart w:id="107" w:name="_Toc188625338"/>
      <w:r w:rsidRPr="1B9F46DA">
        <w:rPr>
          <w:rFonts w:ascii="Aptos" w:hAnsi="Aptos"/>
          <w:color w:val="000000" w:themeColor="text1"/>
        </w:rPr>
        <w:t>Participation in other research studies (co-enrolment)</w:t>
      </w:r>
      <w:bookmarkEnd w:id="106"/>
      <w:bookmarkEnd w:id="107"/>
    </w:p>
    <w:p w14:paraId="3CC40CD6" w14:textId="1A22E0CA" w:rsidR="00FF2DC5" w:rsidRPr="001A60D6" w:rsidRDefault="00577725" w:rsidP="00611F1A">
      <w:pPr>
        <w:pStyle w:val="FirstParagraph"/>
        <w:jc w:val="both"/>
        <w:rPr>
          <w:rFonts w:ascii="Aptos" w:hAnsi="Aptos"/>
          <w:color w:val="000000" w:themeColor="text1"/>
          <w:sz w:val="22"/>
          <w:szCs w:val="22"/>
        </w:rPr>
      </w:pPr>
      <w:r w:rsidRPr="001A60D6">
        <w:rPr>
          <w:rFonts w:ascii="Aptos" w:hAnsi="Aptos"/>
          <w:color w:val="000000" w:themeColor="text1"/>
          <w:sz w:val="22"/>
          <w:szCs w:val="22"/>
        </w:rPr>
        <w:t xml:space="preserve">Particularly in the case of emerging infections, it is likely that other research projects, including clinical trials, will also recruit participants in this study. In </w:t>
      </w:r>
      <w:r w:rsidR="00611F1A" w:rsidRPr="001A60D6">
        <w:rPr>
          <w:rFonts w:ascii="Aptos" w:hAnsi="Aptos"/>
          <w:color w:val="000000" w:themeColor="text1"/>
          <w:sz w:val="22"/>
          <w:szCs w:val="22"/>
        </w:rPr>
        <w:t>fact,</w:t>
      </w:r>
      <w:r w:rsidRPr="001A60D6">
        <w:rPr>
          <w:rFonts w:ascii="Aptos" w:hAnsi="Aptos"/>
          <w:color w:val="000000" w:themeColor="text1"/>
          <w:sz w:val="22"/>
          <w:szCs w:val="22"/>
        </w:rPr>
        <w:t xml:space="preserve"> it is important that they do so, and great effort has been expended to ensure that this study is compatible with, and complementary to, other possible research projects.</w:t>
      </w:r>
    </w:p>
    <w:p w14:paraId="6D530BDC" w14:textId="57765149" w:rsidR="00C04C27" w:rsidRPr="001A60D6" w:rsidRDefault="00C04C27" w:rsidP="00CA6DA3">
      <w:pPr>
        <w:pStyle w:val="BodyText"/>
        <w:rPr>
          <w:rFonts w:ascii="Aptos" w:hAnsi="Aptos"/>
          <w:sz w:val="22"/>
          <w:szCs w:val="22"/>
        </w:rPr>
      </w:pPr>
      <w:r w:rsidRPr="001A60D6">
        <w:rPr>
          <w:rFonts w:ascii="Aptos" w:hAnsi="Aptos"/>
          <w:sz w:val="22"/>
          <w:szCs w:val="22"/>
        </w:rPr>
        <w:t>As a sample only study, any co-enrolment in GenOMICC with another study or clinical trial does not require any formal written documentation</w:t>
      </w:r>
    </w:p>
    <w:p w14:paraId="482D3B25" w14:textId="77777777" w:rsidR="00FF2DC5" w:rsidRPr="001A60D6" w:rsidRDefault="00577725">
      <w:pPr>
        <w:pStyle w:val="Heading2"/>
        <w:rPr>
          <w:rFonts w:ascii="Aptos" w:hAnsi="Aptos"/>
          <w:color w:val="000000" w:themeColor="text1"/>
        </w:rPr>
      </w:pPr>
      <w:bookmarkStart w:id="108" w:name="confidentiality"/>
      <w:bookmarkStart w:id="109" w:name="_Toc188625339"/>
      <w:r w:rsidRPr="1B9F46DA">
        <w:rPr>
          <w:rFonts w:ascii="Aptos" w:hAnsi="Aptos"/>
          <w:color w:val="000000" w:themeColor="text1"/>
        </w:rPr>
        <w:t>Confidentiality</w:t>
      </w:r>
      <w:bookmarkEnd w:id="108"/>
      <w:bookmarkEnd w:id="109"/>
    </w:p>
    <w:p w14:paraId="0A42C646" w14:textId="77777777" w:rsidR="00FF2DC5" w:rsidRPr="001A60D6" w:rsidRDefault="00577725" w:rsidP="00611F1A">
      <w:pPr>
        <w:pStyle w:val="FirstParagraph"/>
        <w:jc w:val="both"/>
        <w:rPr>
          <w:rFonts w:ascii="Aptos" w:hAnsi="Aptos"/>
          <w:color w:val="000000" w:themeColor="text1"/>
          <w:sz w:val="22"/>
          <w:szCs w:val="22"/>
        </w:rPr>
      </w:pPr>
      <w:r w:rsidRPr="001A60D6">
        <w:rPr>
          <w:rFonts w:ascii="Aptos" w:hAnsi="Aptos"/>
          <w:color w:val="000000" w:themeColor="text1"/>
          <w:sz w:val="22"/>
          <w:szCs w:val="22"/>
        </w:rPr>
        <w:t>This study will be conducted by clinical staff and those involved in the study will ensure that each study participant’s privacy and confidentiality is maintained. Participants will not be identified in any published reports of this study. All records will be kept confidential to the extent provided by international and local law. All laboratory specimens, evaluation forms, reports, documentation, data and all other information generated will be held in strict confidence. No information concerning the study or the data will be released to any unauthorised third party.</w:t>
      </w:r>
    </w:p>
    <w:p w14:paraId="3EBD1803" w14:textId="05072A03" w:rsidR="00FF2DC5" w:rsidRPr="001A60D6" w:rsidRDefault="00577725" w:rsidP="00611F1A">
      <w:pPr>
        <w:pStyle w:val="BodyText"/>
        <w:jc w:val="both"/>
        <w:rPr>
          <w:rFonts w:ascii="Aptos" w:hAnsi="Aptos"/>
          <w:color w:val="000000" w:themeColor="text1"/>
          <w:sz w:val="22"/>
          <w:szCs w:val="22"/>
        </w:rPr>
      </w:pPr>
      <w:r w:rsidRPr="001A60D6">
        <w:rPr>
          <w:rFonts w:ascii="Aptos" w:hAnsi="Aptos"/>
          <w:color w:val="000000" w:themeColor="text1"/>
          <w:sz w:val="22"/>
          <w:szCs w:val="22"/>
        </w:rPr>
        <w:t>Minimal personal data will be entered into the database for analysis</w:t>
      </w:r>
      <w:r w:rsidR="0051162B" w:rsidRPr="001A60D6">
        <w:rPr>
          <w:rFonts w:ascii="Aptos" w:hAnsi="Aptos"/>
          <w:color w:val="000000" w:themeColor="text1"/>
          <w:sz w:val="22"/>
          <w:szCs w:val="22"/>
        </w:rPr>
        <w:t xml:space="preserve">. </w:t>
      </w:r>
      <w:r w:rsidR="00DD1CE6" w:rsidRPr="001A60D6">
        <w:rPr>
          <w:rFonts w:ascii="Aptos" w:hAnsi="Aptos"/>
          <w:color w:val="000000" w:themeColor="text1"/>
          <w:sz w:val="22"/>
          <w:szCs w:val="22"/>
        </w:rPr>
        <w:t xml:space="preserve">The patient’s identifying personal information will be logged separately and stored securely in paper format at the recruiting site. </w:t>
      </w:r>
      <w:r w:rsidR="006265B0" w:rsidRPr="001A60D6">
        <w:rPr>
          <w:rFonts w:ascii="Aptos" w:hAnsi="Aptos"/>
          <w:sz w:val="22"/>
          <w:szCs w:val="22"/>
        </w:rPr>
        <w:t>Where recruitment is performed in the community by an appropriately trained practitioner from a third party organisation, minimal patient identifiers will be passed to the organisation to allow the visit to be scheduled and carried out</w:t>
      </w:r>
      <w:r w:rsidR="000616CE" w:rsidRPr="001A60D6">
        <w:rPr>
          <w:rFonts w:ascii="Aptos" w:hAnsi="Aptos"/>
          <w:sz w:val="22"/>
          <w:szCs w:val="22"/>
        </w:rPr>
        <w:t>.</w:t>
      </w:r>
      <w:r w:rsidRPr="001A60D6">
        <w:rPr>
          <w:rFonts w:ascii="Aptos" w:hAnsi="Aptos"/>
          <w:color w:val="000000" w:themeColor="text1"/>
          <w:sz w:val="22"/>
          <w:szCs w:val="22"/>
        </w:rPr>
        <w:t xml:space="preserve"> The patient might be asked to take part in future research, and therefore their identifiers need to be retained for this purpose. The stored research data is also likely to be of significant value in the future for other studies and so research data that does contain minimal patient identifiers such as </w:t>
      </w:r>
      <w:r w:rsidR="00884175" w:rsidRPr="001A60D6">
        <w:rPr>
          <w:rFonts w:ascii="Aptos" w:hAnsi="Aptos"/>
          <w:color w:val="000000" w:themeColor="text1"/>
          <w:sz w:val="22"/>
          <w:szCs w:val="22"/>
        </w:rPr>
        <w:t xml:space="preserve">name, date of birth, and </w:t>
      </w:r>
      <w:r w:rsidR="000C65DC" w:rsidRPr="001A60D6">
        <w:rPr>
          <w:rFonts w:ascii="Aptos" w:hAnsi="Aptos"/>
          <w:color w:val="000000" w:themeColor="text1"/>
          <w:sz w:val="22"/>
          <w:szCs w:val="22"/>
        </w:rPr>
        <w:t>healthcare</w:t>
      </w:r>
      <w:r w:rsidR="00884175" w:rsidRPr="001A60D6">
        <w:rPr>
          <w:rFonts w:ascii="Aptos" w:hAnsi="Aptos"/>
          <w:color w:val="000000" w:themeColor="text1"/>
          <w:sz w:val="22"/>
          <w:szCs w:val="22"/>
        </w:rPr>
        <w:t xml:space="preserve"> number</w:t>
      </w:r>
      <w:r w:rsidRPr="001A60D6">
        <w:rPr>
          <w:rFonts w:ascii="Aptos" w:hAnsi="Aptos"/>
          <w:color w:val="000000" w:themeColor="text1"/>
          <w:sz w:val="22"/>
          <w:szCs w:val="22"/>
        </w:rPr>
        <w:t xml:space="preserve"> will be stored indefinitely</w:t>
      </w:r>
      <w:r w:rsidR="000C65DC" w:rsidRPr="001A60D6">
        <w:rPr>
          <w:rFonts w:ascii="Aptos" w:hAnsi="Aptos"/>
          <w:color w:val="000000" w:themeColor="text1"/>
          <w:sz w:val="22"/>
          <w:szCs w:val="22"/>
        </w:rPr>
        <w:t>.</w:t>
      </w:r>
    </w:p>
    <w:p w14:paraId="774F07D9" w14:textId="77777777" w:rsidR="00FF2DC5" w:rsidRPr="001A60D6" w:rsidRDefault="00577725" w:rsidP="00611F1A">
      <w:pPr>
        <w:pStyle w:val="BodyText"/>
        <w:jc w:val="both"/>
        <w:rPr>
          <w:rFonts w:ascii="Aptos" w:hAnsi="Aptos"/>
          <w:color w:val="000000" w:themeColor="text1"/>
          <w:sz w:val="22"/>
          <w:szCs w:val="22"/>
        </w:rPr>
      </w:pPr>
      <w:r w:rsidRPr="001A60D6">
        <w:rPr>
          <w:rFonts w:ascii="Aptos" w:hAnsi="Aptos"/>
          <w:color w:val="000000" w:themeColor="text1"/>
          <w:sz w:val="22"/>
          <w:szCs w:val="22"/>
        </w:rPr>
        <w:t>Paper and electronic medical records may be accessed during the study to confirm, verify or complete clinical information provided in the case report form.</w:t>
      </w:r>
    </w:p>
    <w:p w14:paraId="2DED0B17" w14:textId="31D8FDF0" w:rsidR="0086536F" w:rsidRPr="001A60D6" w:rsidRDefault="00FA03BD" w:rsidP="00611F1A">
      <w:pPr>
        <w:pStyle w:val="BodyText"/>
        <w:jc w:val="both"/>
        <w:rPr>
          <w:rFonts w:ascii="Aptos" w:hAnsi="Aptos"/>
          <w:b/>
          <w:color w:val="000000" w:themeColor="text1"/>
          <w:sz w:val="22"/>
          <w:szCs w:val="22"/>
        </w:rPr>
      </w:pPr>
      <w:r w:rsidRPr="001A60D6">
        <w:rPr>
          <w:rFonts w:ascii="Aptos" w:hAnsi="Aptos"/>
          <w:color w:val="000000" w:themeColor="text1"/>
          <w:sz w:val="22"/>
          <w:szCs w:val="22"/>
        </w:rPr>
        <w:t xml:space="preserve">Identifiable data will be entered into the study database to allow for electronic health record linkage. </w:t>
      </w:r>
      <w:r w:rsidR="0086536F" w:rsidRPr="001A60D6">
        <w:rPr>
          <w:rFonts w:ascii="Aptos" w:hAnsi="Aptos"/>
          <w:color w:val="000000" w:themeColor="text1"/>
          <w:sz w:val="22"/>
          <w:szCs w:val="22"/>
        </w:rPr>
        <w:t>The data will be pseudonymized to allow for linkage with national regional and other data sources (</w:t>
      </w:r>
      <w:r w:rsidR="00C4028C" w:rsidRPr="001A60D6">
        <w:rPr>
          <w:rFonts w:ascii="Aptos" w:hAnsi="Aptos"/>
          <w:color w:val="000000" w:themeColor="text1"/>
          <w:sz w:val="22"/>
          <w:szCs w:val="22"/>
        </w:rPr>
        <w:t>e.g.,</w:t>
      </w:r>
      <w:r w:rsidR="0086536F" w:rsidRPr="001A60D6">
        <w:rPr>
          <w:rFonts w:ascii="Aptos" w:hAnsi="Aptos"/>
          <w:color w:val="000000" w:themeColor="text1"/>
          <w:sz w:val="22"/>
          <w:szCs w:val="22"/>
        </w:rPr>
        <w:t xml:space="preserve"> other research studies), and the collection of longitudinal life course data.</w:t>
      </w:r>
    </w:p>
    <w:p w14:paraId="79CF438C" w14:textId="77777777" w:rsidR="00F37983" w:rsidRPr="001A60D6" w:rsidRDefault="00F37983" w:rsidP="00611F1A">
      <w:pPr>
        <w:pStyle w:val="BodyText"/>
        <w:jc w:val="both"/>
        <w:rPr>
          <w:rFonts w:ascii="Aptos" w:hAnsi="Aptos"/>
          <w:color w:val="000000" w:themeColor="text1"/>
          <w:sz w:val="22"/>
          <w:szCs w:val="22"/>
        </w:rPr>
      </w:pPr>
      <w:r w:rsidRPr="001A60D6">
        <w:rPr>
          <w:rFonts w:ascii="Aptos" w:hAnsi="Aptos"/>
          <w:color w:val="000000" w:themeColor="text1"/>
          <w:sz w:val="22"/>
          <w:szCs w:val="22"/>
        </w:rPr>
        <w:t xml:space="preserve">Data will be pseudonymised </w:t>
      </w:r>
      <w:r w:rsidR="001F7A1F" w:rsidRPr="001A60D6">
        <w:rPr>
          <w:rFonts w:ascii="Aptos" w:hAnsi="Aptos"/>
          <w:color w:val="000000" w:themeColor="text1"/>
          <w:sz w:val="22"/>
          <w:szCs w:val="22"/>
        </w:rPr>
        <w:t>prior to access by researchers.</w:t>
      </w:r>
    </w:p>
    <w:p w14:paraId="1F5F5C08" w14:textId="77777777" w:rsidR="00FF2DC5" w:rsidRPr="001A60D6" w:rsidRDefault="00577725" w:rsidP="00611F1A">
      <w:pPr>
        <w:pStyle w:val="BodyText"/>
        <w:jc w:val="both"/>
        <w:rPr>
          <w:rFonts w:ascii="Aptos" w:hAnsi="Aptos"/>
          <w:color w:val="000000" w:themeColor="text1"/>
          <w:sz w:val="22"/>
          <w:szCs w:val="22"/>
        </w:rPr>
      </w:pPr>
      <w:r w:rsidRPr="001A60D6">
        <w:rPr>
          <w:rFonts w:ascii="Aptos" w:hAnsi="Aptos"/>
          <w:color w:val="000000" w:themeColor="text1"/>
          <w:sz w:val="22"/>
          <w:szCs w:val="22"/>
        </w:rPr>
        <w:t>All samples will be labe</w:t>
      </w:r>
      <w:r w:rsidR="00E75525" w:rsidRPr="001A60D6">
        <w:rPr>
          <w:rFonts w:ascii="Aptos" w:hAnsi="Aptos"/>
          <w:color w:val="000000" w:themeColor="text1"/>
          <w:sz w:val="22"/>
          <w:szCs w:val="22"/>
        </w:rPr>
        <w:t>l</w:t>
      </w:r>
      <w:r w:rsidRPr="001A60D6">
        <w:rPr>
          <w:rFonts w:ascii="Aptos" w:hAnsi="Aptos"/>
          <w:color w:val="000000" w:themeColor="text1"/>
          <w:sz w:val="22"/>
          <w:szCs w:val="22"/>
        </w:rPr>
        <w:t xml:space="preserve">led with a unique, non-identifiable subject number. The patient’s name and subject number will be recorded on the consent form. This will preserve </w:t>
      </w:r>
      <w:r w:rsidR="00027D8D" w:rsidRPr="001A60D6">
        <w:rPr>
          <w:rFonts w:ascii="Aptos" w:hAnsi="Aptos"/>
          <w:color w:val="000000" w:themeColor="text1"/>
          <w:sz w:val="22"/>
          <w:szCs w:val="22"/>
        </w:rPr>
        <w:t>a</w:t>
      </w:r>
      <w:r w:rsidRPr="001A60D6">
        <w:rPr>
          <w:rFonts w:ascii="Aptos" w:hAnsi="Aptos"/>
          <w:color w:val="000000" w:themeColor="text1"/>
          <w:sz w:val="22"/>
          <w:szCs w:val="22"/>
        </w:rPr>
        <w:t xml:space="preserve"> link between anonymous and identifiable data. Further research questions, subject to appropriate ethical approval, may be answered in retrospect in the future. Since the samples and data generated by this work may be irreplaceable after an outbreak of infectious disease has passed, it is essential that future work is not impeded by unnecessary data loss. Data will be encrypted before transfer on portable devices. Multiple backups will be maintained on institutional servers. Critical data will be stored in a stable storage format.</w:t>
      </w:r>
    </w:p>
    <w:p w14:paraId="285A5049" w14:textId="77777777" w:rsidR="00FF2DC5" w:rsidRPr="001A60D6" w:rsidRDefault="00577725" w:rsidP="00611F1A">
      <w:pPr>
        <w:pStyle w:val="BodyText"/>
        <w:jc w:val="both"/>
        <w:rPr>
          <w:rFonts w:ascii="Aptos" w:hAnsi="Aptos"/>
          <w:color w:val="000000" w:themeColor="text1"/>
          <w:sz w:val="22"/>
          <w:szCs w:val="22"/>
        </w:rPr>
      </w:pPr>
      <w:r w:rsidRPr="001A60D6">
        <w:rPr>
          <w:rFonts w:ascii="Aptos" w:hAnsi="Aptos"/>
          <w:color w:val="000000" w:themeColor="text1"/>
          <w:sz w:val="22"/>
          <w:szCs w:val="22"/>
        </w:rPr>
        <w:t>It is important that data generated now is not destroyed unnecessarily, since they will be of considerable potential value to future research. Electronic data and electronic copies of paper documents will be stored indefinitely</w:t>
      </w:r>
    </w:p>
    <w:p w14:paraId="2BC6CEE5" w14:textId="77777777" w:rsidR="00FF2DC5" w:rsidRPr="001A60D6" w:rsidRDefault="00577725">
      <w:pPr>
        <w:pStyle w:val="Heading2"/>
        <w:rPr>
          <w:rFonts w:ascii="Aptos" w:hAnsi="Aptos"/>
          <w:color w:val="000000" w:themeColor="text1"/>
        </w:rPr>
      </w:pPr>
      <w:bookmarkStart w:id="110" w:name="scientific-and-peer-review"/>
      <w:bookmarkStart w:id="111" w:name="_Toc188625340"/>
      <w:r w:rsidRPr="1B9F46DA">
        <w:rPr>
          <w:rFonts w:ascii="Aptos" w:hAnsi="Aptos"/>
          <w:color w:val="000000" w:themeColor="text1"/>
        </w:rPr>
        <w:t>Scientific and peer review</w:t>
      </w:r>
      <w:bookmarkEnd w:id="110"/>
      <w:bookmarkEnd w:id="111"/>
    </w:p>
    <w:p w14:paraId="04FC00E2" w14:textId="77777777" w:rsidR="00FF2DC5" w:rsidRPr="001A60D6" w:rsidRDefault="00577725" w:rsidP="00611F1A">
      <w:pPr>
        <w:pStyle w:val="FirstParagraph"/>
        <w:jc w:val="both"/>
        <w:rPr>
          <w:rFonts w:ascii="Aptos" w:hAnsi="Aptos"/>
          <w:color w:val="000000" w:themeColor="text1"/>
          <w:sz w:val="22"/>
          <w:szCs w:val="22"/>
        </w:rPr>
      </w:pPr>
      <w:r w:rsidRPr="001A60D6">
        <w:rPr>
          <w:rFonts w:ascii="Aptos" w:hAnsi="Aptos"/>
          <w:color w:val="000000" w:themeColor="text1"/>
          <w:sz w:val="22"/>
          <w:szCs w:val="22"/>
        </w:rPr>
        <w:t>The proposed study has undergone extensive peer review in successive iterations including formal review and approval by the ISARIC Executive Committee and the InFACT Executive Committee, three rounds of peer-review during successive applications to the Wellcome Trust, and presentation at national and international conferences.</w:t>
      </w:r>
    </w:p>
    <w:p w14:paraId="52BAA1D6" w14:textId="77777777" w:rsidR="000332A3" w:rsidRPr="001A60D6" w:rsidRDefault="000332A3" w:rsidP="00611F1A">
      <w:pPr>
        <w:pStyle w:val="BodyText"/>
        <w:jc w:val="both"/>
        <w:rPr>
          <w:rFonts w:ascii="Aptos" w:hAnsi="Aptos"/>
          <w:color w:val="000000" w:themeColor="text1"/>
          <w:sz w:val="22"/>
          <w:szCs w:val="22"/>
        </w:rPr>
      </w:pPr>
    </w:p>
    <w:p w14:paraId="5CDF705F" w14:textId="77777777" w:rsidR="00CC093C" w:rsidRPr="001A60D6" w:rsidRDefault="00CC093C" w:rsidP="003D047A">
      <w:pPr>
        <w:jc w:val="both"/>
        <w:rPr>
          <w:rFonts w:ascii="Aptos" w:eastAsiaTheme="majorEastAsia" w:hAnsi="Aptos" w:cstheme="majorBidi"/>
          <w:b/>
          <w:bCs/>
          <w:color w:val="000000" w:themeColor="text1"/>
          <w:sz w:val="22"/>
          <w:szCs w:val="22"/>
        </w:rPr>
      </w:pPr>
      <w:bookmarkStart w:id="112" w:name="ref-Albright2008Evidence"/>
      <w:bookmarkStart w:id="113" w:name="refs"/>
      <w:r w:rsidRPr="001A60D6">
        <w:rPr>
          <w:rFonts w:ascii="Aptos" w:hAnsi="Aptos"/>
          <w:color w:val="000000" w:themeColor="text1"/>
          <w:sz w:val="22"/>
          <w:szCs w:val="22"/>
        </w:rPr>
        <w:br w:type="page"/>
      </w:r>
    </w:p>
    <w:p w14:paraId="02E6E05B" w14:textId="77777777" w:rsidR="000332A3" w:rsidRPr="001A60D6" w:rsidRDefault="000332A3" w:rsidP="003D047A">
      <w:pPr>
        <w:pStyle w:val="Heading2"/>
        <w:jc w:val="both"/>
        <w:rPr>
          <w:rFonts w:ascii="Aptos" w:hAnsi="Aptos"/>
          <w:color w:val="000000" w:themeColor="text1"/>
        </w:rPr>
      </w:pPr>
      <w:bookmarkStart w:id="114" w:name="_Toc188625341"/>
      <w:r w:rsidRPr="1B9F46DA">
        <w:rPr>
          <w:rFonts w:ascii="Aptos" w:hAnsi="Aptos"/>
          <w:color w:val="000000" w:themeColor="text1"/>
        </w:rPr>
        <w:t>References</w:t>
      </w:r>
      <w:bookmarkEnd w:id="114"/>
    </w:p>
    <w:p w14:paraId="6E39AF7D" w14:textId="77777777" w:rsidR="00FF2DC5" w:rsidRPr="001A60D6" w:rsidRDefault="00577725" w:rsidP="003D047A">
      <w:pPr>
        <w:pStyle w:val="Bibliography"/>
        <w:jc w:val="both"/>
        <w:rPr>
          <w:rFonts w:ascii="Aptos" w:hAnsi="Aptos"/>
          <w:color w:val="000000" w:themeColor="text1"/>
          <w:sz w:val="22"/>
          <w:szCs w:val="22"/>
        </w:rPr>
      </w:pPr>
      <w:r w:rsidRPr="001A60D6">
        <w:rPr>
          <w:rFonts w:ascii="Aptos" w:hAnsi="Aptos"/>
          <w:color w:val="000000" w:themeColor="text1"/>
          <w:sz w:val="22"/>
          <w:szCs w:val="22"/>
        </w:rPr>
        <w:t xml:space="preserve">Albright, F. S., P. Orlando, A. T. Pavia, G. G. Jackson, and L. A. Cannon Albright. 2008. “Evidence for a Heritable Predisposition to Death Due to Influenza.” </w:t>
      </w:r>
      <w:r w:rsidRPr="001A60D6">
        <w:rPr>
          <w:rFonts w:ascii="Aptos" w:hAnsi="Aptos"/>
          <w:i/>
          <w:color w:val="000000" w:themeColor="text1"/>
          <w:sz w:val="22"/>
          <w:szCs w:val="22"/>
        </w:rPr>
        <w:t>J Infect Dis</w:t>
      </w:r>
      <w:r w:rsidRPr="001A60D6">
        <w:rPr>
          <w:rFonts w:ascii="Aptos" w:hAnsi="Aptos"/>
          <w:color w:val="000000" w:themeColor="text1"/>
          <w:sz w:val="22"/>
          <w:szCs w:val="22"/>
        </w:rPr>
        <w:t xml:space="preserve"> 197 (1): 18–24.</w:t>
      </w:r>
    </w:p>
    <w:p w14:paraId="360E439A" w14:textId="77777777" w:rsidR="00FF2DC5" w:rsidRPr="001A60D6" w:rsidRDefault="00577725" w:rsidP="003D047A">
      <w:pPr>
        <w:pStyle w:val="Bibliography"/>
        <w:jc w:val="both"/>
        <w:rPr>
          <w:rFonts w:ascii="Aptos" w:hAnsi="Aptos"/>
          <w:color w:val="000000" w:themeColor="text1"/>
          <w:sz w:val="22"/>
          <w:szCs w:val="22"/>
        </w:rPr>
      </w:pPr>
      <w:bookmarkStart w:id="115" w:name="ref-Angus2013Severe"/>
      <w:bookmarkEnd w:id="112"/>
      <w:r w:rsidRPr="001A60D6">
        <w:rPr>
          <w:rFonts w:ascii="Aptos" w:hAnsi="Aptos"/>
          <w:color w:val="000000" w:themeColor="text1"/>
          <w:sz w:val="22"/>
          <w:szCs w:val="22"/>
        </w:rPr>
        <w:t xml:space="preserve">Angus, Derek C., and Tom van der Poll. 2013. “Severe Sepsis and Septic Shock.” </w:t>
      </w:r>
      <w:r w:rsidRPr="001A60D6">
        <w:rPr>
          <w:rFonts w:ascii="Aptos" w:hAnsi="Aptos"/>
          <w:i/>
          <w:color w:val="000000" w:themeColor="text1"/>
          <w:sz w:val="22"/>
          <w:szCs w:val="22"/>
        </w:rPr>
        <w:t>New England Journal of Medicine</w:t>
      </w:r>
      <w:r w:rsidRPr="001A60D6">
        <w:rPr>
          <w:rFonts w:ascii="Aptos" w:hAnsi="Aptos"/>
          <w:color w:val="000000" w:themeColor="text1"/>
          <w:sz w:val="22"/>
          <w:szCs w:val="22"/>
        </w:rPr>
        <w:t xml:space="preserve"> 369 (9): 840–51. </w:t>
      </w:r>
      <w:hyperlink r:id="rId22">
        <w:r w:rsidRPr="001A60D6">
          <w:rPr>
            <w:rStyle w:val="Hyperlink"/>
            <w:rFonts w:ascii="Aptos" w:hAnsi="Aptos"/>
            <w:color w:val="000000" w:themeColor="text1"/>
            <w:sz w:val="22"/>
            <w:szCs w:val="22"/>
          </w:rPr>
          <w:t>https://doi.org/10.1056/NEJMra1208623</w:t>
        </w:r>
      </w:hyperlink>
      <w:r w:rsidRPr="001A60D6">
        <w:rPr>
          <w:rFonts w:ascii="Aptos" w:hAnsi="Aptos"/>
          <w:color w:val="000000" w:themeColor="text1"/>
          <w:sz w:val="22"/>
          <w:szCs w:val="22"/>
        </w:rPr>
        <w:t>.</w:t>
      </w:r>
    </w:p>
    <w:p w14:paraId="5C4438CB" w14:textId="77777777" w:rsidR="00FF2DC5" w:rsidRPr="001A60D6" w:rsidRDefault="00577725" w:rsidP="003D047A">
      <w:pPr>
        <w:pStyle w:val="Bibliography"/>
        <w:jc w:val="both"/>
        <w:rPr>
          <w:rFonts w:ascii="Aptos" w:hAnsi="Aptos"/>
          <w:color w:val="000000" w:themeColor="text1"/>
          <w:sz w:val="22"/>
          <w:szCs w:val="22"/>
        </w:rPr>
      </w:pPr>
      <w:bookmarkStart w:id="116" w:name="ref-Baillie2014Targeting"/>
      <w:bookmarkEnd w:id="115"/>
      <w:r w:rsidRPr="001A60D6">
        <w:rPr>
          <w:rFonts w:ascii="Aptos" w:hAnsi="Aptos"/>
          <w:color w:val="000000" w:themeColor="text1"/>
          <w:sz w:val="22"/>
          <w:szCs w:val="22"/>
        </w:rPr>
        <w:t xml:space="preserve">Baillie, J. K. 2014. “Targeting the Host Immune Response to Fight Infection.” </w:t>
      </w:r>
      <w:r w:rsidRPr="001A60D6">
        <w:rPr>
          <w:rFonts w:ascii="Aptos" w:hAnsi="Aptos"/>
          <w:i/>
          <w:color w:val="000000" w:themeColor="text1"/>
          <w:sz w:val="22"/>
          <w:szCs w:val="22"/>
        </w:rPr>
        <w:t>Science</w:t>
      </w:r>
      <w:r w:rsidRPr="001A60D6">
        <w:rPr>
          <w:rFonts w:ascii="Aptos" w:hAnsi="Aptos"/>
          <w:color w:val="000000" w:themeColor="text1"/>
          <w:sz w:val="22"/>
          <w:szCs w:val="22"/>
        </w:rPr>
        <w:t xml:space="preserve"> 344 (6186): 807–8. </w:t>
      </w:r>
      <w:hyperlink r:id="rId23">
        <w:r w:rsidRPr="001A60D6">
          <w:rPr>
            <w:rStyle w:val="Hyperlink"/>
            <w:rFonts w:ascii="Aptos" w:hAnsi="Aptos"/>
            <w:color w:val="000000" w:themeColor="text1"/>
            <w:sz w:val="22"/>
            <w:szCs w:val="22"/>
          </w:rPr>
          <w:t>https://doi.org/10.1126/science.1255074</w:t>
        </w:r>
      </w:hyperlink>
      <w:r w:rsidRPr="001A60D6">
        <w:rPr>
          <w:rFonts w:ascii="Aptos" w:hAnsi="Aptos"/>
          <w:color w:val="000000" w:themeColor="text1"/>
          <w:sz w:val="22"/>
          <w:szCs w:val="22"/>
        </w:rPr>
        <w:t>.</w:t>
      </w:r>
    </w:p>
    <w:p w14:paraId="4043B962" w14:textId="77777777" w:rsidR="00FF2DC5" w:rsidRPr="001A60D6" w:rsidRDefault="00577725" w:rsidP="003D047A">
      <w:pPr>
        <w:pStyle w:val="Bibliography"/>
        <w:jc w:val="both"/>
        <w:rPr>
          <w:rFonts w:ascii="Aptos" w:hAnsi="Aptos"/>
          <w:color w:val="000000" w:themeColor="text1"/>
          <w:sz w:val="22"/>
          <w:szCs w:val="22"/>
        </w:rPr>
      </w:pPr>
      <w:bookmarkStart w:id="117" w:name="ref-Blow2004Virus"/>
      <w:bookmarkEnd w:id="116"/>
      <w:r w:rsidRPr="001A60D6">
        <w:rPr>
          <w:rFonts w:ascii="Aptos" w:hAnsi="Aptos"/>
          <w:color w:val="000000" w:themeColor="text1"/>
          <w:sz w:val="22"/>
          <w:szCs w:val="22"/>
        </w:rPr>
        <w:t xml:space="preserve">Blow, Jamie A., David J. Dohm, Diane L. Negley, and Christopher N. Mores. 2004. “Virus Inactivation by Nucleic Acid Extraction Reagents.” </w:t>
      </w:r>
      <w:r w:rsidRPr="001A60D6">
        <w:rPr>
          <w:rFonts w:ascii="Aptos" w:hAnsi="Aptos"/>
          <w:i/>
          <w:color w:val="000000" w:themeColor="text1"/>
          <w:sz w:val="22"/>
          <w:szCs w:val="22"/>
        </w:rPr>
        <w:t>Journal of Virological Methods</w:t>
      </w:r>
      <w:r w:rsidRPr="001A60D6">
        <w:rPr>
          <w:rFonts w:ascii="Aptos" w:hAnsi="Aptos"/>
          <w:color w:val="000000" w:themeColor="text1"/>
          <w:sz w:val="22"/>
          <w:szCs w:val="22"/>
        </w:rPr>
        <w:t xml:space="preserve"> 119 (2): 195–98. </w:t>
      </w:r>
      <w:hyperlink r:id="rId24">
        <w:r w:rsidRPr="001A60D6">
          <w:rPr>
            <w:rStyle w:val="Hyperlink"/>
            <w:rFonts w:ascii="Aptos" w:hAnsi="Aptos"/>
            <w:color w:val="000000" w:themeColor="text1"/>
            <w:sz w:val="22"/>
            <w:szCs w:val="22"/>
          </w:rPr>
          <w:t>https://doi.org/10.1016/j.jviromet.2004.03.015</w:t>
        </w:r>
      </w:hyperlink>
      <w:r w:rsidRPr="001A60D6">
        <w:rPr>
          <w:rFonts w:ascii="Aptos" w:hAnsi="Aptos"/>
          <w:color w:val="000000" w:themeColor="text1"/>
          <w:sz w:val="22"/>
          <w:szCs w:val="22"/>
        </w:rPr>
        <w:t>.</w:t>
      </w:r>
    </w:p>
    <w:p w14:paraId="012BC530" w14:textId="77777777" w:rsidR="00FF2DC5" w:rsidRPr="001A60D6" w:rsidRDefault="00577725" w:rsidP="003D047A">
      <w:pPr>
        <w:pStyle w:val="Bibliography"/>
        <w:jc w:val="both"/>
        <w:rPr>
          <w:rFonts w:ascii="Aptos" w:hAnsi="Aptos"/>
          <w:color w:val="000000" w:themeColor="text1"/>
          <w:sz w:val="22"/>
          <w:szCs w:val="22"/>
        </w:rPr>
      </w:pPr>
      <w:bookmarkStart w:id="118" w:name="ref-Casanova2013Genetic"/>
      <w:bookmarkEnd w:id="117"/>
      <w:r w:rsidRPr="001A60D6">
        <w:rPr>
          <w:rFonts w:ascii="Aptos" w:hAnsi="Aptos"/>
          <w:color w:val="000000" w:themeColor="text1"/>
          <w:sz w:val="22"/>
          <w:szCs w:val="22"/>
        </w:rPr>
        <w:t xml:space="preserve">Casanova, Jean-Laurent, and Laurent Abel. 2013. “The Genetic Theory of Infectious Diseases: A Brief History and Selected Illustrations.” </w:t>
      </w:r>
      <w:r w:rsidRPr="001A60D6">
        <w:rPr>
          <w:rFonts w:ascii="Aptos" w:hAnsi="Aptos"/>
          <w:i/>
          <w:color w:val="000000" w:themeColor="text1"/>
          <w:sz w:val="22"/>
          <w:szCs w:val="22"/>
        </w:rPr>
        <w:t>Annual Review of Genomics and Human Genetics</w:t>
      </w:r>
      <w:r w:rsidRPr="001A60D6">
        <w:rPr>
          <w:rFonts w:ascii="Aptos" w:hAnsi="Aptos"/>
          <w:color w:val="000000" w:themeColor="text1"/>
          <w:sz w:val="22"/>
          <w:szCs w:val="22"/>
        </w:rPr>
        <w:t xml:space="preserve"> 14 (1): 215–43. </w:t>
      </w:r>
      <w:hyperlink r:id="rId25">
        <w:r w:rsidRPr="001A60D6">
          <w:rPr>
            <w:rStyle w:val="Hyperlink"/>
            <w:rFonts w:ascii="Aptos" w:hAnsi="Aptos"/>
            <w:color w:val="000000" w:themeColor="text1"/>
            <w:sz w:val="22"/>
            <w:szCs w:val="22"/>
          </w:rPr>
          <w:t>https://doi.org/10.1146/annurev-genom-091212-153448</w:t>
        </w:r>
      </w:hyperlink>
      <w:r w:rsidRPr="001A60D6">
        <w:rPr>
          <w:rFonts w:ascii="Aptos" w:hAnsi="Aptos"/>
          <w:color w:val="000000" w:themeColor="text1"/>
          <w:sz w:val="22"/>
          <w:szCs w:val="22"/>
        </w:rPr>
        <w:t>.</w:t>
      </w:r>
    </w:p>
    <w:p w14:paraId="07387B16" w14:textId="77777777" w:rsidR="00FF2DC5" w:rsidRPr="001A60D6" w:rsidRDefault="00577725" w:rsidP="003D047A">
      <w:pPr>
        <w:pStyle w:val="Bibliography"/>
        <w:jc w:val="both"/>
        <w:rPr>
          <w:rFonts w:ascii="Aptos" w:hAnsi="Aptos"/>
          <w:color w:val="000000" w:themeColor="text1"/>
          <w:sz w:val="22"/>
          <w:szCs w:val="22"/>
        </w:rPr>
      </w:pPr>
      <w:bookmarkStart w:id="119" w:name="ref-Dunning2014Open"/>
      <w:bookmarkEnd w:id="118"/>
      <w:r w:rsidRPr="001A60D6">
        <w:rPr>
          <w:rFonts w:ascii="Aptos" w:hAnsi="Aptos"/>
          <w:color w:val="000000" w:themeColor="text1"/>
          <w:sz w:val="22"/>
          <w:szCs w:val="22"/>
        </w:rPr>
        <w:t xml:space="preserve">Dunning, Jake W., Laura Merson, Gernot G. U. Rohde, Zhancheng Gao, Malcolm G. Semple, Dat Tran, Anthony Gordon, et al. 2014. “Open Source Clinical Science for Emerging Infections.” </w:t>
      </w:r>
      <w:r w:rsidRPr="001A60D6">
        <w:rPr>
          <w:rFonts w:ascii="Aptos" w:hAnsi="Aptos"/>
          <w:i/>
          <w:color w:val="000000" w:themeColor="text1"/>
          <w:sz w:val="22"/>
          <w:szCs w:val="22"/>
        </w:rPr>
        <w:t>The Lancet Infectious Diseases</w:t>
      </w:r>
      <w:r w:rsidRPr="001A60D6">
        <w:rPr>
          <w:rFonts w:ascii="Aptos" w:hAnsi="Aptos"/>
          <w:color w:val="000000" w:themeColor="text1"/>
          <w:sz w:val="22"/>
          <w:szCs w:val="22"/>
        </w:rPr>
        <w:t xml:space="preserve"> 14 (1): 8–9. </w:t>
      </w:r>
      <w:hyperlink r:id="rId26">
        <w:r w:rsidRPr="001A60D6">
          <w:rPr>
            <w:rStyle w:val="Hyperlink"/>
            <w:rFonts w:ascii="Aptos" w:hAnsi="Aptos"/>
            <w:color w:val="000000" w:themeColor="text1"/>
            <w:sz w:val="22"/>
            <w:szCs w:val="22"/>
          </w:rPr>
          <w:t>https://doi.org/10.1016/S1473-3099(13)70327-X</w:t>
        </w:r>
      </w:hyperlink>
      <w:r w:rsidRPr="001A60D6">
        <w:rPr>
          <w:rFonts w:ascii="Aptos" w:hAnsi="Aptos"/>
          <w:color w:val="000000" w:themeColor="text1"/>
          <w:sz w:val="22"/>
          <w:szCs w:val="22"/>
        </w:rPr>
        <w:t>.</w:t>
      </w:r>
    </w:p>
    <w:p w14:paraId="1CD6BAC3" w14:textId="77777777" w:rsidR="00FF2DC5" w:rsidRPr="001A60D6" w:rsidRDefault="00577725" w:rsidP="003D047A">
      <w:pPr>
        <w:pStyle w:val="Bibliography"/>
        <w:jc w:val="both"/>
        <w:rPr>
          <w:rFonts w:ascii="Aptos" w:hAnsi="Aptos"/>
          <w:color w:val="000000" w:themeColor="text1"/>
          <w:sz w:val="22"/>
          <w:szCs w:val="22"/>
        </w:rPr>
      </w:pPr>
      <w:bookmarkStart w:id="120" w:name="ref-Glass2006Ccr5"/>
      <w:bookmarkEnd w:id="119"/>
      <w:r w:rsidRPr="001A60D6">
        <w:rPr>
          <w:rFonts w:ascii="Aptos" w:hAnsi="Aptos"/>
          <w:color w:val="000000" w:themeColor="text1"/>
          <w:sz w:val="22"/>
          <w:szCs w:val="22"/>
        </w:rPr>
        <w:t xml:space="preserve">Glass, William G., David H. McDermott, Jean K. Lim, Sudkamon Lekhong, Shuk Fong Yu, William A. Frank, John Pape, Ronald C. Cheshier, and Philip M. Murphy. 2006. “CCR5 Deficiency Increases Risk of Symptomatic West Nile Virus Infection.” </w:t>
      </w:r>
      <w:r w:rsidRPr="001A60D6">
        <w:rPr>
          <w:rFonts w:ascii="Aptos" w:hAnsi="Aptos"/>
          <w:i/>
          <w:color w:val="000000" w:themeColor="text1"/>
          <w:sz w:val="22"/>
          <w:szCs w:val="22"/>
        </w:rPr>
        <w:t>J. Exp. Med.</w:t>
      </w:r>
      <w:r w:rsidRPr="001A60D6">
        <w:rPr>
          <w:rFonts w:ascii="Aptos" w:hAnsi="Aptos"/>
          <w:color w:val="000000" w:themeColor="text1"/>
          <w:sz w:val="22"/>
          <w:szCs w:val="22"/>
        </w:rPr>
        <w:t xml:space="preserve"> 203 (1): 35–40. </w:t>
      </w:r>
      <w:hyperlink r:id="rId27">
        <w:r w:rsidRPr="001A60D6">
          <w:rPr>
            <w:rStyle w:val="Hyperlink"/>
            <w:rFonts w:ascii="Aptos" w:hAnsi="Aptos"/>
            <w:color w:val="000000" w:themeColor="text1"/>
            <w:sz w:val="22"/>
            <w:szCs w:val="22"/>
          </w:rPr>
          <w:t>https://doi.org/10.1084/jem.20051970</w:t>
        </w:r>
      </w:hyperlink>
      <w:r w:rsidRPr="001A60D6">
        <w:rPr>
          <w:rFonts w:ascii="Aptos" w:hAnsi="Aptos"/>
          <w:color w:val="000000" w:themeColor="text1"/>
          <w:sz w:val="22"/>
          <w:szCs w:val="22"/>
        </w:rPr>
        <w:t>.</w:t>
      </w:r>
    </w:p>
    <w:p w14:paraId="74C7798E" w14:textId="77777777" w:rsidR="006D1352" w:rsidRPr="001A60D6" w:rsidRDefault="00B41C14" w:rsidP="003D047A">
      <w:pPr>
        <w:jc w:val="both"/>
        <w:rPr>
          <w:rFonts w:ascii="Aptos" w:hAnsi="Aptos"/>
          <w:color w:val="000000" w:themeColor="text1"/>
          <w:sz w:val="22"/>
          <w:szCs w:val="22"/>
        </w:rPr>
      </w:pPr>
      <w:r w:rsidRPr="001A60D6">
        <w:rPr>
          <w:rFonts w:ascii="Aptos" w:hAnsi="Aptos"/>
          <w:color w:val="000000" w:themeColor="text1"/>
          <w:sz w:val="22"/>
          <w:szCs w:val="22"/>
        </w:rPr>
        <w:t>Harris M, Clark J, Coote N, Fletcher P, Harnden A, McKean M, Thomson A; British Thoracic Society Standards of Care Committee. British Thoracic Society guidelines for the management of community acquired pneumonia in children: update 2011.</w:t>
      </w:r>
      <w:r w:rsidR="00F01E1B" w:rsidRPr="001A60D6">
        <w:rPr>
          <w:rFonts w:ascii="Aptos" w:hAnsi="Aptos"/>
          <w:color w:val="000000" w:themeColor="text1"/>
          <w:sz w:val="22"/>
          <w:szCs w:val="22"/>
        </w:rPr>
        <w:t xml:space="preserve"> </w:t>
      </w:r>
      <w:r w:rsidR="00F01E1B" w:rsidRPr="001A60D6">
        <w:rPr>
          <w:rFonts w:ascii="Aptos" w:hAnsi="Aptos"/>
          <w:i/>
          <w:iCs/>
          <w:color w:val="000000" w:themeColor="text1"/>
          <w:sz w:val="22"/>
          <w:szCs w:val="22"/>
        </w:rPr>
        <w:t>Thorax</w:t>
      </w:r>
      <w:r w:rsidR="00A31AE7" w:rsidRPr="001A60D6">
        <w:rPr>
          <w:rFonts w:ascii="Aptos" w:hAnsi="Aptos"/>
          <w:color w:val="000000" w:themeColor="text1"/>
          <w:sz w:val="22"/>
          <w:szCs w:val="22"/>
        </w:rPr>
        <w:t xml:space="preserve"> </w:t>
      </w:r>
      <w:r w:rsidR="00F01E1B" w:rsidRPr="001A60D6">
        <w:rPr>
          <w:rFonts w:ascii="Aptos" w:hAnsi="Aptos"/>
          <w:color w:val="000000" w:themeColor="text1"/>
          <w:sz w:val="22"/>
          <w:szCs w:val="22"/>
        </w:rPr>
        <w:t>66</w:t>
      </w:r>
      <w:r w:rsidR="00462CDE" w:rsidRPr="001A60D6">
        <w:rPr>
          <w:rFonts w:ascii="Aptos" w:hAnsi="Aptos"/>
          <w:color w:val="000000" w:themeColor="text1"/>
          <w:sz w:val="22"/>
          <w:szCs w:val="22"/>
        </w:rPr>
        <w:t>(</w:t>
      </w:r>
      <w:r w:rsidR="00F01E1B" w:rsidRPr="001A60D6">
        <w:rPr>
          <w:rFonts w:ascii="Aptos" w:hAnsi="Aptos"/>
          <w:color w:val="000000" w:themeColor="text1"/>
          <w:sz w:val="22"/>
          <w:szCs w:val="22"/>
        </w:rPr>
        <w:t>Suppl 2</w:t>
      </w:r>
      <w:r w:rsidR="00462CDE" w:rsidRPr="001A60D6">
        <w:rPr>
          <w:rFonts w:ascii="Aptos" w:hAnsi="Aptos"/>
          <w:color w:val="000000" w:themeColor="text1"/>
          <w:sz w:val="22"/>
          <w:szCs w:val="22"/>
        </w:rPr>
        <w:t>)</w:t>
      </w:r>
      <w:r w:rsidR="00F01E1B" w:rsidRPr="001A60D6">
        <w:rPr>
          <w:rFonts w:ascii="Aptos" w:hAnsi="Aptos"/>
          <w:color w:val="000000" w:themeColor="text1"/>
          <w:sz w:val="22"/>
          <w:szCs w:val="22"/>
        </w:rPr>
        <w:t xml:space="preserve">:ii1-23. </w:t>
      </w:r>
      <w:hyperlink r:id="rId28" w:history="1">
        <w:r w:rsidR="006D1352" w:rsidRPr="001A60D6">
          <w:rPr>
            <w:rStyle w:val="Hyperlink"/>
            <w:rFonts w:ascii="Aptos" w:hAnsi="Aptos"/>
            <w:color w:val="000000" w:themeColor="text1"/>
            <w:sz w:val="22"/>
            <w:szCs w:val="22"/>
          </w:rPr>
          <w:t>https://doi.org/10.1136/thoraxjnl-2011-200598</w:t>
        </w:r>
      </w:hyperlink>
    </w:p>
    <w:p w14:paraId="238F3350" w14:textId="77777777" w:rsidR="00FF2DC5" w:rsidRPr="001A60D6" w:rsidRDefault="00577725" w:rsidP="003D047A">
      <w:pPr>
        <w:pStyle w:val="Bibliography"/>
        <w:jc w:val="both"/>
        <w:rPr>
          <w:rFonts w:ascii="Aptos" w:hAnsi="Aptos"/>
          <w:color w:val="000000" w:themeColor="text1"/>
          <w:sz w:val="22"/>
          <w:szCs w:val="22"/>
        </w:rPr>
      </w:pPr>
      <w:bookmarkStart w:id="121" w:name="ref-Huang1996Role"/>
      <w:bookmarkEnd w:id="120"/>
      <w:r w:rsidRPr="001A60D6">
        <w:rPr>
          <w:rFonts w:ascii="Aptos" w:hAnsi="Aptos"/>
          <w:color w:val="000000" w:themeColor="text1"/>
          <w:sz w:val="22"/>
          <w:szCs w:val="22"/>
        </w:rPr>
        <w:t xml:space="preserve">Huang, Y, W A Paxton, S M Wolinsky, A U Neumann, L Zhang, T He, S Kang, et al. 1996. “The Role of a Mutant Ccr5 Allele in Hiv-1 Transmission and Disease Progression.” </w:t>
      </w:r>
      <w:r w:rsidRPr="001A60D6">
        <w:rPr>
          <w:rFonts w:ascii="Aptos" w:hAnsi="Aptos"/>
          <w:i/>
          <w:color w:val="000000" w:themeColor="text1"/>
          <w:sz w:val="22"/>
          <w:szCs w:val="22"/>
        </w:rPr>
        <w:t>Nature Medicine</w:t>
      </w:r>
      <w:r w:rsidRPr="001A60D6">
        <w:rPr>
          <w:rFonts w:ascii="Aptos" w:hAnsi="Aptos"/>
          <w:color w:val="000000" w:themeColor="text1"/>
          <w:sz w:val="22"/>
          <w:szCs w:val="22"/>
        </w:rPr>
        <w:t xml:space="preserve"> 2 (11): 1240–3. </w:t>
      </w:r>
      <w:hyperlink r:id="rId29">
        <w:r w:rsidRPr="001A60D6">
          <w:rPr>
            <w:rStyle w:val="Hyperlink"/>
            <w:rFonts w:ascii="Aptos" w:hAnsi="Aptos"/>
            <w:color w:val="000000" w:themeColor="text1"/>
            <w:sz w:val="22"/>
            <w:szCs w:val="22"/>
          </w:rPr>
          <w:t>http://www.ncbi.nlm.nih.gov/pubmed/8898752</w:t>
        </w:r>
      </w:hyperlink>
      <w:r w:rsidRPr="001A60D6">
        <w:rPr>
          <w:rFonts w:ascii="Aptos" w:hAnsi="Aptos"/>
          <w:color w:val="000000" w:themeColor="text1"/>
          <w:sz w:val="22"/>
          <w:szCs w:val="22"/>
        </w:rPr>
        <w:t>.</w:t>
      </w:r>
    </w:p>
    <w:p w14:paraId="0ECE6E0E" w14:textId="77777777" w:rsidR="0088096C" w:rsidRPr="001A60D6" w:rsidRDefault="0088096C" w:rsidP="003D047A">
      <w:pPr>
        <w:pStyle w:val="Bibliography"/>
        <w:jc w:val="both"/>
        <w:rPr>
          <w:rFonts w:ascii="Aptos" w:hAnsi="Aptos"/>
          <w:color w:val="000000" w:themeColor="text1"/>
          <w:sz w:val="22"/>
          <w:szCs w:val="22"/>
        </w:rPr>
      </w:pPr>
      <w:r w:rsidRPr="001A60D6">
        <w:rPr>
          <w:rFonts w:ascii="Aptos" w:hAnsi="Aptos"/>
          <w:color w:val="000000" w:themeColor="text1"/>
          <w:sz w:val="22"/>
          <w:szCs w:val="22"/>
        </w:rPr>
        <w:t xml:space="preserve">Kousathanas A, Pairo-Castineira E, Rawlik K, Stuckey A, Odhams CA, Walker S, Russell CD, Malinauskas T, Wu Y, Millar J, Shen X, Elliott KS, Griffiths F, Oosthuyzen W, Morrice K, Keating S, Wang B, Rhodes D, Klaric L, Zechner M, Parkinson N, Siddiq A, Goddard P, Donovan S, Maslove D, Nichol A, Semple MG, Zainy T, Maleady-Crowe F, Todd L, Salehi S, Knight J, Elgar G, Chan G, Arumugam P, Patch C, Rendon A, Bentley D, Kingsley C, Kosmicki JA, Horowitz JE, Baras A, Abecasis GR, Ferreira MAR, Justice A, Mirshahi T, Oetjens M, Rader DJ, Ritchie MD, Verma A, Fowler TA, Shankar-Hari M, Summers C, Hinds C, Horby P, Ling L, McAuley D, Montgomery H, Openshaw PJM, Elliott P, Walsh T, Tenesa A; GenOMICC investigators; 23andMe investigators; COVID-19 Human Genetics Initiative; Fawkes A, Murphy L, Rowan K, Ponting CP, Vitart V, Wilson JF, Yang J, Bretherick AD, Scott RH, Hendry SC, Moutsianas L, Law A, Caulfield MJ, Baillie JK. Whole-genome sequencing reveals host factors underlying critical COVID-19. Nature. 2022 Jul;607(7917):97-103. </w:t>
      </w:r>
      <w:r w:rsidRPr="001A60D6">
        <w:rPr>
          <w:rFonts w:ascii="Aptos" w:hAnsi="Aptos"/>
          <w:b/>
          <w:bCs/>
          <w:color w:val="000000" w:themeColor="text1"/>
          <w:sz w:val="22"/>
          <w:szCs w:val="22"/>
        </w:rPr>
        <w:t>https://doi.org/10.1038/s41586-022-04576-6</w:t>
      </w:r>
    </w:p>
    <w:p w14:paraId="47B04387" w14:textId="77777777" w:rsidR="00FF2DC5" w:rsidRPr="001A60D6" w:rsidRDefault="00577725" w:rsidP="003D047A">
      <w:pPr>
        <w:pStyle w:val="Bibliography"/>
        <w:jc w:val="both"/>
        <w:rPr>
          <w:rFonts w:ascii="Aptos" w:hAnsi="Aptos"/>
          <w:color w:val="000000" w:themeColor="text1"/>
          <w:sz w:val="22"/>
          <w:szCs w:val="22"/>
        </w:rPr>
      </w:pPr>
      <w:bookmarkStart w:id="122" w:name="ref-Lone2016FiveYear"/>
      <w:bookmarkEnd w:id="121"/>
      <w:r w:rsidRPr="001A60D6">
        <w:rPr>
          <w:rFonts w:ascii="Aptos" w:hAnsi="Aptos"/>
          <w:color w:val="000000" w:themeColor="text1"/>
          <w:sz w:val="22"/>
          <w:szCs w:val="22"/>
        </w:rPr>
        <w:t xml:space="preserve">Lone, Nazir I., Michael A. Gillies, Catriona Haddow, Richard Dobbie, Kathryn M. Rowan, Sarah H. Wild, Gordon D. Murray, and Timothy S. Walsh. 2016. “Five-Year Mortality and Hospital Costs Associated with Surviving Intensive Care.” </w:t>
      </w:r>
      <w:r w:rsidRPr="001A60D6">
        <w:rPr>
          <w:rFonts w:ascii="Aptos" w:hAnsi="Aptos"/>
          <w:i/>
          <w:color w:val="000000" w:themeColor="text1"/>
          <w:sz w:val="22"/>
          <w:szCs w:val="22"/>
        </w:rPr>
        <w:t>American Journal of Respiratory and Critical Care Medicine</w:t>
      </w:r>
      <w:r w:rsidRPr="001A60D6">
        <w:rPr>
          <w:rFonts w:ascii="Aptos" w:hAnsi="Aptos"/>
          <w:color w:val="000000" w:themeColor="text1"/>
          <w:sz w:val="22"/>
          <w:szCs w:val="22"/>
        </w:rPr>
        <w:t xml:space="preserve"> 194 (2): 198–208. </w:t>
      </w:r>
      <w:hyperlink r:id="rId30">
        <w:r w:rsidRPr="001A60D6">
          <w:rPr>
            <w:rStyle w:val="Hyperlink"/>
            <w:rFonts w:ascii="Aptos" w:hAnsi="Aptos"/>
            <w:color w:val="000000" w:themeColor="text1"/>
            <w:sz w:val="22"/>
            <w:szCs w:val="22"/>
          </w:rPr>
          <w:t>https://doi.org/10.1164/rccm.201511-2234OC</w:t>
        </w:r>
      </w:hyperlink>
      <w:r w:rsidRPr="001A60D6">
        <w:rPr>
          <w:rFonts w:ascii="Aptos" w:hAnsi="Aptos"/>
          <w:color w:val="000000" w:themeColor="text1"/>
          <w:sz w:val="22"/>
          <w:szCs w:val="22"/>
        </w:rPr>
        <w:t>.</w:t>
      </w:r>
    </w:p>
    <w:p w14:paraId="501B661D" w14:textId="77777777" w:rsidR="00FF2DC5" w:rsidRPr="001A60D6" w:rsidRDefault="00577725" w:rsidP="003D047A">
      <w:pPr>
        <w:pStyle w:val="Bibliography"/>
        <w:jc w:val="both"/>
        <w:rPr>
          <w:rFonts w:ascii="Aptos" w:hAnsi="Aptos"/>
          <w:color w:val="000000" w:themeColor="text1"/>
          <w:sz w:val="22"/>
          <w:szCs w:val="22"/>
        </w:rPr>
      </w:pPr>
      <w:bookmarkStart w:id="123" w:name="ref-Miller2010Incidence"/>
      <w:bookmarkEnd w:id="122"/>
      <w:r w:rsidRPr="001A60D6">
        <w:rPr>
          <w:rFonts w:ascii="Aptos" w:hAnsi="Aptos"/>
          <w:color w:val="000000" w:themeColor="text1"/>
          <w:sz w:val="22"/>
          <w:szCs w:val="22"/>
        </w:rPr>
        <w:t xml:space="preserve">Miller, Elizabeth, Katja Hoschler, Pia Hardelid, Elaine Stanford, Nick Andrews, and Maria Zambon. 2010. “Incidence of 2009 Pandemic Influenza a H1n1 Infection in England: A Cross-Sectional Serological Study.” </w:t>
      </w:r>
      <w:r w:rsidRPr="001A60D6">
        <w:rPr>
          <w:rFonts w:ascii="Aptos" w:hAnsi="Aptos"/>
          <w:i/>
          <w:color w:val="000000" w:themeColor="text1"/>
          <w:sz w:val="22"/>
          <w:szCs w:val="22"/>
        </w:rPr>
        <w:t>The Lancet</w:t>
      </w:r>
      <w:r w:rsidRPr="001A60D6">
        <w:rPr>
          <w:rFonts w:ascii="Aptos" w:hAnsi="Aptos"/>
          <w:color w:val="000000" w:themeColor="text1"/>
          <w:sz w:val="22"/>
          <w:szCs w:val="22"/>
        </w:rPr>
        <w:t xml:space="preserve"> 375 (9720): 1100–1108. </w:t>
      </w:r>
      <w:hyperlink r:id="rId31">
        <w:r w:rsidRPr="001A60D6">
          <w:rPr>
            <w:rStyle w:val="Hyperlink"/>
            <w:rFonts w:ascii="Aptos" w:hAnsi="Aptos"/>
            <w:color w:val="000000" w:themeColor="text1"/>
            <w:sz w:val="22"/>
            <w:szCs w:val="22"/>
          </w:rPr>
          <w:t>https://doi.org/10.1016/S0140-6736(09)62126-7</w:t>
        </w:r>
      </w:hyperlink>
      <w:r w:rsidRPr="001A60D6">
        <w:rPr>
          <w:rFonts w:ascii="Aptos" w:hAnsi="Aptos"/>
          <w:color w:val="000000" w:themeColor="text1"/>
          <w:sz w:val="22"/>
          <w:szCs w:val="22"/>
        </w:rPr>
        <w:t>.</w:t>
      </w:r>
    </w:p>
    <w:p w14:paraId="10164E8F" w14:textId="0014051F" w:rsidR="004E06E1" w:rsidRPr="001A60D6" w:rsidRDefault="004E06E1" w:rsidP="003D047A">
      <w:pPr>
        <w:pStyle w:val="Bibliography"/>
        <w:jc w:val="both"/>
        <w:rPr>
          <w:rFonts w:ascii="Aptos" w:hAnsi="Aptos"/>
          <w:color w:val="000000" w:themeColor="text1"/>
          <w:sz w:val="22"/>
          <w:szCs w:val="22"/>
        </w:rPr>
      </w:pPr>
      <w:r w:rsidRPr="001A60D6">
        <w:rPr>
          <w:rFonts w:ascii="Aptos" w:hAnsi="Aptos"/>
          <w:color w:val="000000" w:themeColor="text1"/>
          <w:sz w:val="22"/>
          <w:szCs w:val="22"/>
        </w:rPr>
        <w:t xml:space="preserve">Pairo-Castineira, E., Clohisey, S., Klaric, L., Bretherick, A.D., Rawlik, K., Pasko, D., Walker, S., Parkinson, N., Fourman, M.H., Russell, C.D., Furniss, J., Richmond, A., Gountouna, E., Wrobel, N., Harrison, D., Wang, B., Wu, Y., Meynert, A., Griffiths, F., Oosthuyzen, W., Kousathanas, A., Moutsianas, L., Yang, Z., Zhai, R., Zheng, C., Grimes, G., Beale, R., Millar, J., Shih, B., Keating, S., Zechner, M., Haley, C., Porteous, D.J., Hayward, C., Yang, J., Knight, J., Summers, C., ShankarHari, M., Klenerman, P., Turtle, L., Ho, A., Moore, S.C., Hinds, C., Horby, P., Nichol, A., Maslove, D., Ling, L., McAuley, D., Montgomery, H., Walsh, T., Pereira, A., Renieri, A., Shen, X., Ponting, C.P., Fawkes, A., Tenesa, A., Caulfield, M., Scott, R., Rowan, K., Murphy, L., Openshaw, P.J.M., Malcolm G. Semple, Law, A., Vitart, V., Wilson, J.F. &amp; Baillie, J.K. Genetic mechanisms of critical illness in Covid-19. Nature 1–1(2020). </w:t>
      </w:r>
      <w:hyperlink r:id="rId32" w:history="1">
        <w:r w:rsidRPr="001A60D6">
          <w:rPr>
            <w:rStyle w:val="Hyperlink"/>
            <w:rFonts w:ascii="Aptos" w:hAnsi="Aptos"/>
            <w:sz w:val="22"/>
            <w:szCs w:val="22"/>
          </w:rPr>
          <w:t>https://doi.org/10.1038/s41586-020-03065-y</w:t>
        </w:r>
      </w:hyperlink>
      <w:r w:rsidRPr="001A60D6">
        <w:rPr>
          <w:rFonts w:ascii="Aptos" w:hAnsi="Aptos"/>
          <w:color w:val="000000" w:themeColor="text1"/>
          <w:sz w:val="22"/>
          <w:szCs w:val="22"/>
        </w:rPr>
        <w:t xml:space="preserve"> </w:t>
      </w:r>
    </w:p>
    <w:p w14:paraId="42D07C72" w14:textId="77777777" w:rsidR="004E06E1" w:rsidRPr="001A60D6" w:rsidRDefault="004E06E1" w:rsidP="003D047A">
      <w:pPr>
        <w:pStyle w:val="Bibliography"/>
        <w:jc w:val="both"/>
        <w:rPr>
          <w:rFonts w:ascii="Aptos" w:hAnsi="Aptos"/>
          <w:color w:val="000000" w:themeColor="text1"/>
          <w:sz w:val="22"/>
          <w:szCs w:val="22"/>
        </w:rPr>
      </w:pPr>
      <w:r w:rsidRPr="001A60D6">
        <w:rPr>
          <w:rFonts w:ascii="Aptos" w:hAnsi="Aptos"/>
          <w:color w:val="000000" w:themeColor="text1"/>
          <w:sz w:val="22"/>
          <w:szCs w:val="22"/>
        </w:rPr>
        <w:t xml:space="preserve">Pairo-Castineira E, Rawlik K, Bretherick AD, Qi T, Wu Y, Nassiri I, McConkey GA, Zechner M, Klaric L, Griffiths F, Oosthuyzen W, Kousathanas A, Richmond A, Millar J, Russell CD, Malinauskas T, Thwaites R, Morrice K, Keating S, Maslove D, Nichol A, Semple MG, Knight J, Shankar-Hari M, Summers C, Hinds C, Horby P, Ling L, McAuley D, Montgomery H, Openshaw PJM, Begg C, Walsh T, Tenesa A, Flores C, Riancho JA, Rojas-Martinez A, Lapunzina P; GenOMICC Investigators; SCOURGE Consortium; ISARICC Investigators; 23andMe COVID-19 Team; Yang J, Ponting CP, Wilson JF, Vitart V, Abedalthagafi M, Luchessi AD, Parra EJ, Cruz R, Carracedo A, Fawkes A, Murphy L, Rowan K, Pereira AC, Law A, Fairfax B, Hendry SC, Baillie JK. GWAS and meta-analysis identifies 49 genetic variants underlying critical COVID-19. Nature. 2023 May;617(7962):764-768. doi: 10.1038/s41586-023-06034-3 </w:t>
      </w:r>
      <w:hyperlink r:id="rId33" w:history="1">
        <w:r w:rsidRPr="001A60D6">
          <w:rPr>
            <w:rStyle w:val="Hyperlink"/>
            <w:rFonts w:ascii="Aptos" w:hAnsi="Aptos"/>
            <w:sz w:val="22"/>
            <w:szCs w:val="22"/>
          </w:rPr>
          <w:t>https://doi.org/10.1038/s41586-023-06383-z</w:t>
        </w:r>
      </w:hyperlink>
      <w:r w:rsidRPr="001A60D6">
        <w:rPr>
          <w:rFonts w:ascii="Aptos" w:hAnsi="Aptos"/>
          <w:b/>
          <w:bCs/>
          <w:color w:val="000000" w:themeColor="text1"/>
          <w:sz w:val="22"/>
          <w:szCs w:val="22"/>
        </w:rPr>
        <w:t xml:space="preserve"> </w:t>
      </w:r>
    </w:p>
    <w:p w14:paraId="462938BB" w14:textId="77777777" w:rsidR="00FF2DC5" w:rsidRPr="001A60D6" w:rsidRDefault="00577725" w:rsidP="003D047A">
      <w:pPr>
        <w:pStyle w:val="Bibliography"/>
        <w:jc w:val="both"/>
        <w:rPr>
          <w:rFonts w:ascii="Aptos" w:hAnsi="Aptos"/>
          <w:color w:val="000000" w:themeColor="text1"/>
          <w:sz w:val="22"/>
          <w:szCs w:val="22"/>
        </w:rPr>
      </w:pPr>
      <w:bookmarkStart w:id="124" w:name="ref-Rautanen2015GenomeWide"/>
      <w:bookmarkEnd w:id="123"/>
      <w:r w:rsidRPr="001A60D6">
        <w:rPr>
          <w:rFonts w:ascii="Aptos" w:hAnsi="Aptos"/>
          <w:color w:val="000000" w:themeColor="text1"/>
          <w:sz w:val="22"/>
          <w:szCs w:val="22"/>
        </w:rPr>
        <w:t xml:space="preserve">Rautanen, Anna, Tara C Mills, Anthony C Gordon, Paula Hutton, Michael Steffens, Rosamond Nuamah, Jean-Daniel Chiche, et al. 2015. “Genome-Wide Association Study of Survival from Sepsis Due to Pneumonia: An Observational Cohort Study.” </w:t>
      </w:r>
      <w:r w:rsidRPr="001A60D6">
        <w:rPr>
          <w:rFonts w:ascii="Aptos" w:hAnsi="Aptos"/>
          <w:i/>
          <w:color w:val="000000" w:themeColor="text1"/>
          <w:sz w:val="22"/>
          <w:szCs w:val="22"/>
        </w:rPr>
        <w:t>The Lancet Respiratory Medicine</w:t>
      </w:r>
      <w:r w:rsidRPr="001A60D6">
        <w:rPr>
          <w:rFonts w:ascii="Aptos" w:hAnsi="Aptos"/>
          <w:color w:val="000000" w:themeColor="text1"/>
          <w:sz w:val="22"/>
          <w:szCs w:val="22"/>
        </w:rPr>
        <w:t xml:space="preserve"> 3 (1): 53–60. </w:t>
      </w:r>
      <w:hyperlink r:id="rId34">
        <w:r w:rsidRPr="001A60D6">
          <w:rPr>
            <w:rStyle w:val="Hyperlink"/>
            <w:rFonts w:ascii="Aptos" w:hAnsi="Aptos"/>
            <w:color w:val="000000" w:themeColor="text1"/>
            <w:sz w:val="22"/>
            <w:szCs w:val="22"/>
          </w:rPr>
          <w:t>https://doi.org/10.1016/S2213-2600(14)70290-5</w:t>
        </w:r>
      </w:hyperlink>
      <w:r w:rsidRPr="001A60D6">
        <w:rPr>
          <w:rFonts w:ascii="Aptos" w:hAnsi="Aptos"/>
          <w:color w:val="000000" w:themeColor="text1"/>
          <w:sz w:val="22"/>
          <w:szCs w:val="22"/>
        </w:rPr>
        <w:t>.</w:t>
      </w:r>
    </w:p>
    <w:p w14:paraId="367241BD" w14:textId="77777777" w:rsidR="00FF2DC5" w:rsidRPr="001A60D6" w:rsidRDefault="00577725" w:rsidP="003D047A">
      <w:pPr>
        <w:pStyle w:val="Bibliography"/>
        <w:jc w:val="both"/>
        <w:rPr>
          <w:rFonts w:ascii="Aptos" w:hAnsi="Aptos"/>
          <w:color w:val="000000" w:themeColor="text1"/>
          <w:sz w:val="22"/>
          <w:szCs w:val="22"/>
        </w:rPr>
      </w:pPr>
      <w:bookmarkStart w:id="125" w:name="ref-Sorensen1988Genetic"/>
      <w:bookmarkEnd w:id="124"/>
      <w:r w:rsidRPr="001A60D6">
        <w:rPr>
          <w:rFonts w:ascii="Aptos" w:hAnsi="Aptos"/>
          <w:color w:val="000000" w:themeColor="text1"/>
          <w:sz w:val="22"/>
          <w:szCs w:val="22"/>
        </w:rPr>
        <w:t xml:space="preserve">Sorensen, TI, GG Nielsen, PK Andersen, and TW Teasdale. 1988. “Genetic and Environmental Influences on Premature Death in Adult Adoptees.” </w:t>
      </w:r>
      <w:r w:rsidRPr="001A60D6">
        <w:rPr>
          <w:rFonts w:ascii="Aptos" w:hAnsi="Aptos"/>
          <w:i/>
          <w:color w:val="000000" w:themeColor="text1"/>
          <w:sz w:val="22"/>
          <w:szCs w:val="22"/>
        </w:rPr>
        <w:t>N Engl J Med</w:t>
      </w:r>
      <w:r w:rsidRPr="001A60D6">
        <w:rPr>
          <w:rFonts w:ascii="Aptos" w:hAnsi="Aptos"/>
          <w:color w:val="000000" w:themeColor="text1"/>
          <w:sz w:val="22"/>
          <w:szCs w:val="22"/>
        </w:rPr>
        <w:t xml:space="preserve"> 318 (12): 727–32. </w:t>
      </w:r>
      <w:hyperlink r:id="rId35">
        <w:r w:rsidRPr="001A60D6">
          <w:rPr>
            <w:rStyle w:val="Hyperlink"/>
            <w:rFonts w:ascii="Aptos" w:hAnsi="Aptos"/>
            <w:color w:val="000000" w:themeColor="text1"/>
            <w:sz w:val="22"/>
            <w:szCs w:val="22"/>
          </w:rPr>
          <w:t>http://content.nejm.org/cgi/content/abstract/318/12/727</w:t>
        </w:r>
      </w:hyperlink>
      <w:r w:rsidRPr="001A60D6">
        <w:rPr>
          <w:rFonts w:ascii="Aptos" w:hAnsi="Aptos"/>
          <w:color w:val="000000" w:themeColor="text1"/>
          <w:sz w:val="22"/>
          <w:szCs w:val="22"/>
        </w:rPr>
        <w:t>.</w:t>
      </w:r>
      <w:bookmarkEnd w:id="113"/>
      <w:bookmarkEnd w:id="125"/>
    </w:p>
    <w:sectPr w:rsidR="00FF2DC5" w:rsidRPr="001A60D6" w:rsidSect="007D088F">
      <w:headerReference w:type="default" r:id="rId36"/>
      <w:footerReference w:type="default" r:id="rId37"/>
      <w:headerReference w:type="first" r:id="rId38"/>
      <w:footerReference w:type="first" r:id="rId39"/>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F908B" w14:textId="77777777" w:rsidR="00A97D2B" w:rsidRDefault="00A97D2B">
      <w:pPr>
        <w:spacing w:after="0"/>
      </w:pPr>
      <w:r>
        <w:separator/>
      </w:r>
    </w:p>
  </w:endnote>
  <w:endnote w:type="continuationSeparator" w:id="0">
    <w:p w14:paraId="6DB55103" w14:textId="77777777" w:rsidR="00A97D2B" w:rsidRDefault="00A97D2B">
      <w:pPr>
        <w:spacing w:after="0"/>
      </w:pPr>
      <w:r>
        <w:continuationSeparator/>
      </w:r>
    </w:p>
  </w:endnote>
  <w:endnote w:type="continuationNotice" w:id="1">
    <w:p w14:paraId="588AA4CB" w14:textId="77777777" w:rsidR="00A97D2B" w:rsidRDefault="00A97D2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AC95" w14:textId="5F476273" w:rsidR="00FC7A0F" w:rsidRPr="003B6E9D" w:rsidRDefault="53CA90FE" w:rsidP="53CA90FE">
    <w:pPr>
      <w:pStyle w:val="Footer"/>
      <w:rPr>
        <w:rFonts w:asciiTheme="majorHAnsi" w:eastAsiaTheme="majorEastAsia" w:hAnsiTheme="majorHAnsi" w:cstheme="majorBidi"/>
        <w:noProof/>
        <w:color w:val="4472C4" w:themeColor="accent1"/>
      </w:rPr>
    </w:pPr>
    <w:r w:rsidRPr="53CA90FE">
      <w:rPr>
        <w:rFonts w:asciiTheme="majorHAnsi" w:eastAsiaTheme="majorEastAsia" w:hAnsiTheme="majorHAnsi" w:cstheme="majorBidi"/>
        <w:color w:val="4472C4" w:themeColor="accent1"/>
      </w:rPr>
      <w:t xml:space="preserve"> </w:t>
    </w:r>
    <w:r w:rsidRPr="53CA90FE">
      <w:rPr>
        <w:rFonts w:asciiTheme="majorHAnsi" w:eastAsiaTheme="majorEastAsia" w:hAnsiTheme="majorHAnsi" w:cstheme="majorBidi"/>
        <w:noProof/>
        <w:color w:val="4472C4" w:themeColor="accent1"/>
      </w:rPr>
      <w:t xml:space="preserve">                            GenOMICC Protocol International Version </w:t>
    </w:r>
    <w:r w:rsidR="009B77D0">
      <w:rPr>
        <w:rFonts w:asciiTheme="majorHAnsi" w:eastAsiaTheme="majorEastAsia" w:hAnsiTheme="majorHAnsi" w:cstheme="majorBidi"/>
        <w:noProof/>
        <w:color w:val="4472C4" w:themeColor="accent1"/>
      </w:rPr>
      <w:t>4.0</w:t>
    </w:r>
    <w:r w:rsidRPr="53CA90FE">
      <w:rPr>
        <w:rFonts w:asciiTheme="majorHAnsi" w:eastAsiaTheme="majorEastAsia" w:hAnsiTheme="majorHAnsi" w:cstheme="majorBidi"/>
        <w:noProof/>
        <w:color w:val="4472C4" w:themeColor="accent1"/>
      </w:rPr>
      <w:t xml:space="preserve"> </w:t>
    </w:r>
    <w:r w:rsidR="0068416B">
      <w:rPr>
        <w:rFonts w:asciiTheme="majorHAnsi" w:eastAsiaTheme="majorEastAsia" w:hAnsiTheme="majorHAnsi" w:cstheme="majorBidi"/>
        <w:noProof/>
        <w:color w:val="4472C4" w:themeColor="accent1"/>
      </w:rPr>
      <w:t xml:space="preserve"> xx xxxxx</w:t>
    </w:r>
    <w:r w:rsidR="003E49A4">
      <w:rPr>
        <w:rFonts w:asciiTheme="majorHAnsi" w:eastAsiaTheme="majorEastAsia" w:hAnsiTheme="majorHAnsi" w:cstheme="majorBidi"/>
        <w:noProof/>
        <w:color w:val="4472C4" w:themeColor="accent1"/>
      </w:rPr>
      <w:t xml:space="preserve"> </w:t>
    </w:r>
    <w:r w:rsidR="00056C9B">
      <w:rPr>
        <w:rFonts w:asciiTheme="majorHAnsi" w:eastAsiaTheme="majorEastAsia" w:hAnsiTheme="majorHAnsi" w:cstheme="majorBidi"/>
        <w:noProof/>
        <w:color w:val="4472C4" w:themeColor="accent1"/>
      </w:rPr>
      <w:t>202</w:t>
    </w:r>
    <w:r w:rsidR="00213589">
      <w:rPr>
        <w:rFonts w:asciiTheme="majorHAnsi" w:eastAsiaTheme="majorEastAsia" w:hAnsiTheme="majorHAnsi" w:cstheme="majorBidi"/>
        <w:noProof/>
        <w:color w:val="4472C4" w:themeColor="accent1"/>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43032A9" w14:paraId="59266E8D" w14:textId="77777777" w:rsidTr="00CA6DA3">
      <w:trPr>
        <w:trHeight w:val="300"/>
      </w:trPr>
      <w:tc>
        <w:tcPr>
          <w:tcW w:w="3120" w:type="dxa"/>
        </w:tcPr>
        <w:p w14:paraId="16832004" w14:textId="66673E53" w:rsidR="643032A9" w:rsidRDefault="643032A9" w:rsidP="00CA6DA3">
          <w:pPr>
            <w:pStyle w:val="Header"/>
            <w:ind w:left="-115"/>
          </w:pPr>
        </w:p>
      </w:tc>
      <w:tc>
        <w:tcPr>
          <w:tcW w:w="3120" w:type="dxa"/>
        </w:tcPr>
        <w:p w14:paraId="2B5F2B42" w14:textId="2052BECD" w:rsidR="643032A9" w:rsidRDefault="643032A9" w:rsidP="00CA6DA3">
          <w:pPr>
            <w:pStyle w:val="Header"/>
            <w:jc w:val="center"/>
          </w:pPr>
        </w:p>
      </w:tc>
      <w:tc>
        <w:tcPr>
          <w:tcW w:w="3120" w:type="dxa"/>
        </w:tcPr>
        <w:p w14:paraId="4009E5B3" w14:textId="70710E13" w:rsidR="643032A9" w:rsidRDefault="643032A9" w:rsidP="00CA6DA3">
          <w:pPr>
            <w:pStyle w:val="Header"/>
            <w:ind w:right="-115"/>
            <w:jc w:val="right"/>
          </w:pPr>
        </w:p>
      </w:tc>
    </w:tr>
  </w:tbl>
  <w:p w14:paraId="36733A4C" w14:textId="4C0CE233" w:rsidR="643032A9" w:rsidRDefault="643032A9" w:rsidP="00CA6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3764E" w14:textId="77777777" w:rsidR="00A97D2B" w:rsidRDefault="00A97D2B">
      <w:r>
        <w:separator/>
      </w:r>
    </w:p>
  </w:footnote>
  <w:footnote w:type="continuationSeparator" w:id="0">
    <w:p w14:paraId="0516BE90" w14:textId="77777777" w:rsidR="00A97D2B" w:rsidRDefault="00A97D2B">
      <w:r>
        <w:continuationSeparator/>
      </w:r>
    </w:p>
  </w:footnote>
  <w:footnote w:type="continuationNotice" w:id="1">
    <w:p w14:paraId="184A100F" w14:textId="77777777" w:rsidR="00A97D2B" w:rsidRDefault="00A97D2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43032A9" w14:paraId="1A2C5D92" w14:textId="77777777" w:rsidTr="53CA90FE">
      <w:trPr>
        <w:trHeight w:val="300"/>
      </w:trPr>
      <w:tc>
        <w:tcPr>
          <w:tcW w:w="3120" w:type="dxa"/>
        </w:tcPr>
        <w:p w14:paraId="70D5A12A" w14:textId="002871D6" w:rsidR="643032A9" w:rsidRDefault="643032A9" w:rsidP="00CA6DA3">
          <w:pPr>
            <w:pStyle w:val="Header"/>
            <w:ind w:left="-115"/>
          </w:pPr>
        </w:p>
      </w:tc>
      <w:tc>
        <w:tcPr>
          <w:tcW w:w="3120" w:type="dxa"/>
        </w:tcPr>
        <w:p w14:paraId="32B8F0BA" w14:textId="0836C3DE" w:rsidR="643032A9" w:rsidRDefault="643032A9" w:rsidP="53CA90FE">
          <w:pPr>
            <w:pStyle w:val="Header"/>
            <w:jc w:val="center"/>
          </w:pPr>
          <w:r>
            <w:fldChar w:fldCharType="begin"/>
          </w:r>
          <w:r>
            <w:instrText>PAGE</w:instrText>
          </w:r>
          <w:r>
            <w:fldChar w:fldCharType="separate"/>
          </w:r>
          <w:r w:rsidR="000663FC">
            <w:rPr>
              <w:noProof/>
            </w:rPr>
            <w:t>2</w:t>
          </w:r>
          <w:r>
            <w:fldChar w:fldCharType="end"/>
          </w:r>
        </w:p>
      </w:tc>
      <w:tc>
        <w:tcPr>
          <w:tcW w:w="3120" w:type="dxa"/>
        </w:tcPr>
        <w:p w14:paraId="247A1E9C" w14:textId="68C35447" w:rsidR="643032A9" w:rsidRDefault="643032A9" w:rsidP="00CA6DA3">
          <w:pPr>
            <w:pStyle w:val="Header"/>
            <w:ind w:right="-115"/>
            <w:jc w:val="right"/>
          </w:pPr>
        </w:p>
      </w:tc>
    </w:tr>
  </w:tbl>
  <w:p w14:paraId="4FC9A1D9" w14:textId="2722BE47" w:rsidR="643032A9" w:rsidRDefault="643032A9" w:rsidP="00CA6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43032A9" w14:paraId="69F09805" w14:textId="77777777" w:rsidTr="00CA6DA3">
      <w:trPr>
        <w:trHeight w:val="300"/>
      </w:trPr>
      <w:tc>
        <w:tcPr>
          <w:tcW w:w="3120" w:type="dxa"/>
        </w:tcPr>
        <w:p w14:paraId="1553D062" w14:textId="40EA4979" w:rsidR="643032A9" w:rsidRDefault="643032A9" w:rsidP="00CA6DA3">
          <w:pPr>
            <w:pStyle w:val="Header"/>
            <w:ind w:left="-115"/>
          </w:pPr>
        </w:p>
      </w:tc>
      <w:tc>
        <w:tcPr>
          <w:tcW w:w="3120" w:type="dxa"/>
        </w:tcPr>
        <w:p w14:paraId="4CF2B483" w14:textId="627719C6" w:rsidR="643032A9" w:rsidRDefault="643032A9" w:rsidP="00CA6DA3">
          <w:pPr>
            <w:pStyle w:val="Header"/>
            <w:jc w:val="center"/>
          </w:pPr>
        </w:p>
      </w:tc>
      <w:tc>
        <w:tcPr>
          <w:tcW w:w="3120" w:type="dxa"/>
        </w:tcPr>
        <w:p w14:paraId="74AC163B" w14:textId="52D3075A" w:rsidR="643032A9" w:rsidRDefault="643032A9" w:rsidP="00CA6DA3">
          <w:pPr>
            <w:pStyle w:val="Header"/>
            <w:ind w:right="-115"/>
            <w:jc w:val="right"/>
          </w:pPr>
        </w:p>
      </w:tc>
    </w:tr>
  </w:tbl>
  <w:p w14:paraId="123CF31E" w14:textId="51A7E11B" w:rsidR="643032A9" w:rsidRDefault="643032A9" w:rsidP="00CA6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3A764BC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start w:val="1"/>
      <w:numFmt w:val="bullet"/>
      <w:lvlText w:val="o"/>
      <w:lvlJc w:val="left"/>
      <w:pPr>
        <w:tabs>
          <w:tab w:val="num" w:pos="1440"/>
        </w:tabs>
        <w:ind w:left="1920" w:hanging="480"/>
      </w:pPr>
      <w:rPr>
        <w:rFonts w:ascii="Courier New" w:hAnsi="Courier New" w:cs="Courier New" w:hint="default"/>
      </w:rPr>
    </w:lvl>
    <w:lvl w:ilvl="3">
      <w:start w:val="1"/>
      <w:numFmt w:val="bullet"/>
      <w:lvlText w:val=""/>
      <w:lvlJc w:val="left"/>
      <w:pPr>
        <w:tabs>
          <w:tab w:val="num" w:pos="2160"/>
        </w:tabs>
        <w:ind w:left="2640" w:hanging="480"/>
      </w:pPr>
      <w:rPr>
        <w:rFonts w:ascii="Symbol" w:hAnsi="Symbol" w:hint="default"/>
      </w:r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000A991"/>
    <w:multiLevelType w:val="multilevel"/>
    <w:tmpl w:val="CDE8D22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A99411"/>
    <w:multiLevelType w:val="multilevel"/>
    <w:tmpl w:val="ED22B778"/>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 w15:restartNumberingAfterBreak="0">
    <w:nsid w:val="05C44F29"/>
    <w:multiLevelType w:val="hybridMultilevel"/>
    <w:tmpl w:val="37980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031F9"/>
    <w:multiLevelType w:val="hybridMultilevel"/>
    <w:tmpl w:val="B4886782"/>
    <w:lvl w:ilvl="0" w:tplc="3E628444">
      <w:start w:val="1"/>
      <w:numFmt w:val="decimal"/>
      <w:pStyle w:val="BasicNumberedLis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216A6E"/>
    <w:multiLevelType w:val="multilevel"/>
    <w:tmpl w:val="BA200B8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start w:val="1"/>
      <w:numFmt w:val="bullet"/>
      <w:lvlText w:val=""/>
      <w:lvlJc w:val="left"/>
      <w:pPr>
        <w:tabs>
          <w:tab w:val="num" w:pos="1440"/>
        </w:tabs>
        <w:ind w:left="1920" w:hanging="480"/>
      </w:pPr>
      <w:rPr>
        <w:rFonts w:ascii="Symbol" w:hAnsi="Symbol" w:hint="default"/>
      </w:rPr>
    </w:lvl>
    <w:lvl w:ilvl="3">
      <w:start w:val="1"/>
      <w:numFmt w:val="bullet"/>
      <w:lvlText w:val="o"/>
      <w:lvlJc w:val="left"/>
      <w:pPr>
        <w:tabs>
          <w:tab w:val="num" w:pos="2160"/>
        </w:tabs>
        <w:ind w:left="2640" w:hanging="480"/>
      </w:pPr>
      <w:rPr>
        <w:rFonts w:ascii="Courier New" w:hAnsi="Courier New" w:cs="Courier New" w:hint="default"/>
      </w:r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6" w15:restartNumberingAfterBreak="0">
    <w:nsid w:val="0B904CE5"/>
    <w:multiLevelType w:val="hybridMultilevel"/>
    <w:tmpl w:val="5E94E6DC"/>
    <w:lvl w:ilvl="0" w:tplc="08090003">
      <w:start w:val="1"/>
      <w:numFmt w:val="bullet"/>
      <w:lvlText w:val="o"/>
      <w:lvlJc w:val="left"/>
      <w:pPr>
        <w:ind w:left="1560" w:hanging="360"/>
      </w:pPr>
      <w:rPr>
        <w:rFonts w:ascii="Courier New" w:hAnsi="Courier New" w:cs="Courier New"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7" w15:restartNumberingAfterBreak="0">
    <w:nsid w:val="0D1B09B2"/>
    <w:multiLevelType w:val="hybridMultilevel"/>
    <w:tmpl w:val="31DC174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0C56060"/>
    <w:multiLevelType w:val="hybridMultilevel"/>
    <w:tmpl w:val="CFDA6AB0"/>
    <w:lvl w:ilvl="0" w:tplc="FFFFFFFF">
      <w:start w:val="1"/>
      <w:numFmt w:val="bullet"/>
      <w:pStyle w:val="Basic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2A5E91"/>
    <w:multiLevelType w:val="hybridMultilevel"/>
    <w:tmpl w:val="AE5687F2"/>
    <w:lvl w:ilvl="0" w:tplc="51FE1854">
      <w:numFmt w:val="bullet"/>
      <w:lvlText w:val="-"/>
      <w:lvlJc w:val="left"/>
      <w:pPr>
        <w:ind w:left="1080" w:hanging="360"/>
      </w:pPr>
      <w:rPr>
        <w:rFonts w:ascii="Georgia" w:eastAsiaTheme="minorEastAsia" w:hAnsi="Georgi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0" w15:restartNumberingAfterBreak="0">
    <w:nsid w:val="2C1AE401"/>
    <w:multiLevelType w:val="multilevel"/>
    <w:tmpl w:val="8B20D62A"/>
    <w:lvl w:ilvl="0">
      <w:numFmt w:val="bullet"/>
      <w:lvlText w:val=" "/>
      <w:lvlJc w:val="left"/>
      <w:pPr>
        <w:tabs>
          <w:tab w:val="num" w:pos="720"/>
        </w:tabs>
        <w:ind w:left="1200" w:hanging="480"/>
      </w:pPr>
    </w:lvl>
    <w:lvl w:ilvl="1">
      <w:numFmt w:val="bullet"/>
      <w:lvlText w:val=" "/>
      <w:lvlJc w:val="left"/>
      <w:pPr>
        <w:tabs>
          <w:tab w:val="num" w:pos="1440"/>
        </w:tabs>
        <w:ind w:left="1920" w:hanging="480"/>
      </w:pPr>
    </w:lvl>
    <w:lvl w:ilvl="2">
      <w:numFmt w:val="bullet"/>
      <w:lvlText w:val=" "/>
      <w:lvlJc w:val="left"/>
      <w:pPr>
        <w:tabs>
          <w:tab w:val="num" w:pos="2160"/>
        </w:tabs>
        <w:ind w:left="2640" w:hanging="480"/>
      </w:pPr>
    </w:lvl>
    <w:lvl w:ilvl="3">
      <w:numFmt w:val="bullet"/>
      <w:lvlText w:val=" "/>
      <w:lvlJc w:val="left"/>
      <w:pPr>
        <w:tabs>
          <w:tab w:val="num" w:pos="2880"/>
        </w:tabs>
        <w:ind w:left="3360" w:hanging="480"/>
      </w:pPr>
    </w:lvl>
    <w:lvl w:ilvl="4">
      <w:numFmt w:val="bullet"/>
      <w:lvlText w:val=" "/>
      <w:lvlJc w:val="left"/>
      <w:pPr>
        <w:tabs>
          <w:tab w:val="num" w:pos="3600"/>
        </w:tabs>
        <w:ind w:left="4080" w:hanging="480"/>
      </w:pPr>
    </w:lvl>
    <w:lvl w:ilvl="5">
      <w:numFmt w:val="bullet"/>
      <w:lvlText w:val=" "/>
      <w:lvlJc w:val="left"/>
      <w:pPr>
        <w:tabs>
          <w:tab w:val="num" w:pos="4320"/>
        </w:tabs>
        <w:ind w:left="4800" w:hanging="480"/>
      </w:pPr>
    </w:lvl>
    <w:lvl w:ilvl="6">
      <w:numFmt w:val="bullet"/>
      <w:lvlText w:val=" "/>
      <w:lvlJc w:val="left"/>
      <w:pPr>
        <w:tabs>
          <w:tab w:val="num" w:pos="5040"/>
        </w:tabs>
        <w:ind w:left="5520" w:hanging="480"/>
      </w:pPr>
    </w:lvl>
    <w:lvl w:ilvl="7">
      <w:numFmt w:val="bullet"/>
      <w:lvlText w:val=" "/>
      <w:lvlJc w:val="left"/>
      <w:pPr>
        <w:tabs>
          <w:tab w:val="num" w:pos="5760"/>
        </w:tabs>
        <w:ind w:left="6240" w:hanging="480"/>
      </w:pPr>
    </w:lvl>
    <w:lvl w:ilvl="8">
      <w:numFmt w:val="bullet"/>
      <w:lvlText w:val=" "/>
      <w:lvlJc w:val="left"/>
      <w:pPr>
        <w:tabs>
          <w:tab w:val="num" w:pos="6480"/>
        </w:tabs>
        <w:ind w:left="6960" w:hanging="480"/>
      </w:pPr>
    </w:lvl>
  </w:abstractNum>
  <w:abstractNum w:abstractNumId="11" w15:restartNumberingAfterBreak="0">
    <w:nsid w:val="2E1D5108"/>
    <w:multiLevelType w:val="hybridMultilevel"/>
    <w:tmpl w:val="8D3A8550"/>
    <w:lvl w:ilvl="0" w:tplc="FDF8C322">
      <w:start w:val="1"/>
      <w:numFmt w:val="bullet"/>
      <w:lvlText w:val="-"/>
      <w:lvlJc w:val="left"/>
      <w:pPr>
        <w:ind w:left="400" w:hanging="360"/>
      </w:pPr>
      <w:rPr>
        <w:rFonts w:ascii="Georgia" w:eastAsiaTheme="minorEastAsia" w:hAnsi="Georgia" w:cstheme="minorBid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2" w15:restartNumberingAfterBreak="0">
    <w:nsid w:val="3871174C"/>
    <w:multiLevelType w:val="hybridMultilevel"/>
    <w:tmpl w:val="E54E6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9619EE"/>
    <w:multiLevelType w:val="hybridMultilevel"/>
    <w:tmpl w:val="FFFFFFFF"/>
    <w:lvl w:ilvl="0" w:tplc="CEC8741A">
      <w:start w:val="1"/>
      <w:numFmt w:val="bullet"/>
      <w:lvlText w:val=""/>
      <w:lvlJc w:val="left"/>
      <w:pPr>
        <w:ind w:left="720" w:hanging="360"/>
      </w:pPr>
      <w:rPr>
        <w:rFonts w:ascii="Symbol" w:hAnsi="Symbol" w:hint="default"/>
      </w:rPr>
    </w:lvl>
    <w:lvl w:ilvl="1" w:tplc="6F9C2E8A">
      <w:numFmt w:val="bullet"/>
      <w:lvlText w:val="–"/>
      <w:lvlJc w:val="left"/>
      <w:pPr>
        <w:ind w:left="1440" w:hanging="360"/>
      </w:pPr>
      <w:rPr>
        <w:rFonts w:ascii="Symbol" w:hAnsi="Symbol" w:hint="default"/>
      </w:rPr>
    </w:lvl>
    <w:lvl w:ilvl="2" w:tplc="C99E4F00">
      <w:start w:val="1"/>
      <w:numFmt w:val="bullet"/>
      <w:lvlText w:val=""/>
      <w:lvlJc w:val="left"/>
      <w:pPr>
        <w:ind w:left="2160" w:hanging="360"/>
      </w:pPr>
      <w:rPr>
        <w:rFonts w:ascii="Wingdings" w:hAnsi="Wingdings" w:hint="default"/>
      </w:rPr>
    </w:lvl>
    <w:lvl w:ilvl="3" w:tplc="24345FC4">
      <w:start w:val="1"/>
      <w:numFmt w:val="bullet"/>
      <w:lvlText w:val=""/>
      <w:lvlJc w:val="left"/>
      <w:pPr>
        <w:ind w:left="2880" w:hanging="360"/>
      </w:pPr>
      <w:rPr>
        <w:rFonts w:ascii="Symbol" w:hAnsi="Symbol" w:hint="default"/>
      </w:rPr>
    </w:lvl>
    <w:lvl w:ilvl="4" w:tplc="709EC372">
      <w:start w:val="1"/>
      <w:numFmt w:val="bullet"/>
      <w:lvlText w:val="o"/>
      <w:lvlJc w:val="left"/>
      <w:pPr>
        <w:ind w:left="3600" w:hanging="360"/>
      </w:pPr>
      <w:rPr>
        <w:rFonts w:ascii="Courier New" w:hAnsi="Courier New" w:hint="default"/>
      </w:rPr>
    </w:lvl>
    <w:lvl w:ilvl="5" w:tplc="6FDCB5EE">
      <w:start w:val="1"/>
      <w:numFmt w:val="bullet"/>
      <w:lvlText w:val=""/>
      <w:lvlJc w:val="left"/>
      <w:pPr>
        <w:ind w:left="4320" w:hanging="360"/>
      </w:pPr>
      <w:rPr>
        <w:rFonts w:ascii="Wingdings" w:hAnsi="Wingdings" w:hint="default"/>
      </w:rPr>
    </w:lvl>
    <w:lvl w:ilvl="6" w:tplc="E9FAC854">
      <w:start w:val="1"/>
      <w:numFmt w:val="bullet"/>
      <w:lvlText w:val=""/>
      <w:lvlJc w:val="left"/>
      <w:pPr>
        <w:ind w:left="5040" w:hanging="360"/>
      </w:pPr>
      <w:rPr>
        <w:rFonts w:ascii="Symbol" w:hAnsi="Symbol" w:hint="default"/>
      </w:rPr>
    </w:lvl>
    <w:lvl w:ilvl="7" w:tplc="DA28AB34">
      <w:start w:val="1"/>
      <w:numFmt w:val="bullet"/>
      <w:lvlText w:val="o"/>
      <w:lvlJc w:val="left"/>
      <w:pPr>
        <w:ind w:left="5760" w:hanging="360"/>
      </w:pPr>
      <w:rPr>
        <w:rFonts w:ascii="Courier New" w:hAnsi="Courier New" w:hint="default"/>
      </w:rPr>
    </w:lvl>
    <w:lvl w:ilvl="8" w:tplc="979A5D86">
      <w:start w:val="1"/>
      <w:numFmt w:val="bullet"/>
      <w:lvlText w:val=""/>
      <w:lvlJc w:val="left"/>
      <w:pPr>
        <w:ind w:left="6480" w:hanging="360"/>
      </w:pPr>
      <w:rPr>
        <w:rFonts w:ascii="Wingdings" w:hAnsi="Wingdings" w:hint="default"/>
      </w:rPr>
    </w:lvl>
  </w:abstractNum>
  <w:abstractNum w:abstractNumId="14" w15:restartNumberingAfterBreak="0">
    <w:nsid w:val="41B1572E"/>
    <w:multiLevelType w:val="hybridMultilevel"/>
    <w:tmpl w:val="ADA89138"/>
    <w:lvl w:ilvl="0" w:tplc="8642025E">
      <w:start w:val="1"/>
      <w:numFmt w:val="bullet"/>
      <w:lvlText w:val=""/>
      <w:lvlJc w:val="left"/>
      <w:pPr>
        <w:ind w:left="720" w:hanging="360"/>
      </w:pPr>
      <w:rPr>
        <w:rFonts w:ascii="Symbol" w:hAnsi="Symbol" w:hint="default"/>
      </w:rPr>
    </w:lvl>
    <w:lvl w:ilvl="1" w:tplc="439057B0">
      <w:numFmt w:val="bullet"/>
      <w:lvlText w:val="–"/>
      <w:lvlJc w:val="left"/>
      <w:pPr>
        <w:ind w:left="1440" w:hanging="360"/>
      </w:pPr>
      <w:rPr>
        <w:rFonts w:ascii="Symbol" w:hAnsi="Symbol" w:hint="default"/>
      </w:rPr>
    </w:lvl>
    <w:lvl w:ilvl="2" w:tplc="801AFC90">
      <w:start w:val="1"/>
      <w:numFmt w:val="bullet"/>
      <w:lvlText w:val=""/>
      <w:lvlJc w:val="left"/>
      <w:pPr>
        <w:ind w:left="2160" w:hanging="360"/>
      </w:pPr>
      <w:rPr>
        <w:rFonts w:ascii="Wingdings" w:hAnsi="Wingdings" w:hint="default"/>
      </w:rPr>
    </w:lvl>
    <w:lvl w:ilvl="3" w:tplc="D68C3C48">
      <w:start w:val="1"/>
      <w:numFmt w:val="bullet"/>
      <w:lvlText w:val=""/>
      <w:lvlJc w:val="left"/>
      <w:pPr>
        <w:ind w:left="2880" w:hanging="360"/>
      </w:pPr>
      <w:rPr>
        <w:rFonts w:ascii="Symbol" w:hAnsi="Symbol" w:hint="default"/>
      </w:rPr>
    </w:lvl>
    <w:lvl w:ilvl="4" w:tplc="1520DFF6">
      <w:start w:val="1"/>
      <w:numFmt w:val="bullet"/>
      <w:lvlText w:val="o"/>
      <w:lvlJc w:val="left"/>
      <w:pPr>
        <w:ind w:left="3600" w:hanging="360"/>
      </w:pPr>
      <w:rPr>
        <w:rFonts w:ascii="Courier New" w:hAnsi="Courier New" w:hint="default"/>
      </w:rPr>
    </w:lvl>
    <w:lvl w:ilvl="5" w:tplc="801AE90C">
      <w:start w:val="1"/>
      <w:numFmt w:val="bullet"/>
      <w:lvlText w:val=""/>
      <w:lvlJc w:val="left"/>
      <w:pPr>
        <w:ind w:left="4320" w:hanging="360"/>
      </w:pPr>
      <w:rPr>
        <w:rFonts w:ascii="Wingdings" w:hAnsi="Wingdings" w:hint="default"/>
      </w:rPr>
    </w:lvl>
    <w:lvl w:ilvl="6" w:tplc="EF567BFC">
      <w:start w:val="1"/>
      <w:numFmt w:val="bullet"/>
      <w:lvlText w:val=""/>
      <w:lvlJc w:val="left"/>
      <w:pPr>
        <w:ind w:left="5040" w:hanging="360"/>
      </w:pPr>
      <w:rPr>
        <w:rFonts w:ascii="Symbol" w:hAnsi="Symbol" w:hint="default"/>
      </w:rPr>
    </w:lvl>
    <w:lvl w:ilvl="7" w:tplc="D6A61BA2">
      <w:start w:val="1"/>
      <w:numFmt w:val="bullet"/>
      <w:lvlText w:val="o"/>
      <w:lvlJc w:val="left"/>
      <w:pPr>
        <w:ind w:left="5760" w:hanging="360"/>
      </w:pPr>
      <w:rPr>
        <w:rFonts w:ascii="Courier New" w:hAnsi="Courier New" w:hint="default"/>
      </w:rPr>
    </w:lvl>
    <w:lvl w:ilvl="8" w:tplc="66D0A80A">
      <w:start w:val="1"/>
      <w:numFmt w:val="bullet"/>
      <w:lvlText w:val=""/>
      <w:lvlJc w:val="left"/>
      <w:pPr>
        <w:ind w:left="6480" w:hanging="360"/>
      </w:pPr>
      <w:rPr>
        <w:rFonts w:ascii="Wingdings" w:hAnsi="Wingdings" w:hint="default"/>
      </w:rPr>
    </w:lvl>
  </w:abstractNum>
  <w:abstractNum w:abstractNumId="15" w15:restartNumberingAfterBreak="0">
    <w:nsid w:val="4CE94471"/>
    <w:multiLevelType w:val="hybridMultilevel"/>
    <w:tmpl w:val="D7068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C05CC2"/>
    <w:multiLevelType w:val="hybridMultilevel"/>
    <w:tmpl w:val="9CA86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970568"/>
    <w:multiLevelType w:val="hybridMultilevel"/>
    <w:tmpl w:val="36EEBEB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90840D4"/>
    <w:multiLevelType w:val="hybridMultilevel"/>
    <w:tmpl w:val="9996B21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B53175D"/>
    <w:multiLevelType w:val="multilevel"/>
    <w:tmpl w:val="B2D87F16"/>
    <w:lvl w:ilvl="0">
      <w:start w:val="1"/>
      <w:numFmt w:val="bullet"/>
      <w:lvlText w:val=""/>
      <w:lvlJc w:val="left"/>
      <w:pPr>
        <w:tabs>
          <w:tab w:val="num" w:pos="0"/>
        </w:tabs>
        <w:ind w:left="480" w:hanging="480"/>
      </w:pPr>
      <w:rPr>
        <w:rFonts w:ascii="Symbol" w:hAnsi="Symbol" w:hint="default"/>
      </w:r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20" w15:restartNumberingAfterBreak="0">
    <w:nsid w:val="71315DCA"/>
    <w:multiLevelType w:val="multilevel"/>
    <w:tmpl w:val="8CD652FA"/>
    <w:lvl w:ilvl="0">
      <w:start w:val="1"/>
      <w:numFmt w:val="bullet"/>
      <w:lvlText w:val=""/>
      <w:lvlJc w:val="left"/>
      <w:pPr>
        <w:tabs>
          <w:tab w:val="num" w:pos="0"/>
        </w:tabs>
        <w:ind w:left="480" w:hanging="480"/>
      </w:pPr>
      <w:rPr>
        <w:rFonts w:ascii="Symbol" w:hAnsi="Symbol" w:hint="default"/>
      </w:r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21" w15:restartNumberingAfterBreak="0">
    <w:nsid w:val="775F3663"/>
    <w:multiLevelType w:val="hybridMultilevel"/>
    <w:tmpl w:val="4FDAEBB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2" w15:restartNumberingAfterBreak="0">
    <w:nsid w:val="799810D8"/>
    <w:multiLevelType w:val="hybridMultilevel"/>
    <w:tmpl w:val="A79A64B6"/>
    <w:lvl w:ilvl="0" w:tplc="08090001">
      <w:start w:val="1"/>
      <w:numFmt w:val="bullet"/>
      <w:lvlText w:val=""/>
      <w:lvlJc w:val="left"/>
      <w:pPr>
        <w:ind w:left="400" w:hanging="360"/>
      </w:pPr>
      <w:rPr>
        <w:rFonts w:ascii="Symbol" w:hAnsi="Symbol"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23" w15:restartNumberingAfterBreak="0">
    <w:nsid w:val="7F1C29DC"/>
    <w:multiLevelType w:val="hybridMultilevel"/>
    <w:tmpl w:val="7BD649D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203264"/>
    <w:multiLevelType w:val="hybridMultilevel"/>
    <w:tmpl w:val="B4A22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0"/>
  </w:num>
  <w:num w:numId="9">
    <w:abstractNumId w:val="0"/>
  </w:num>
  <w:num w:numId="10">
    <w:abstractNumId w:val="0"/>
  </w:num>
  <w:num w:numId="11">
    <w:abstractNumId w:val="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num>
  <w:num w:numId="24">
    <w:abstractNumId w:val="7"/>
  </w:num>
  <w:num w:numId="25">
    <w:abstractNumId w:val="9"/>
  </w:num>
  <w:num w:numId="26">
    <w:abstractNumId w:val="11"/>
  </w:num>
  <w:num w:numId="27">
    <w:abstractNumId w:val="13"/>
  </w:num>
  <w:num w:numId="28">
    <w:abstractNumId w:val="16"/>
  </w:num>
  <w:num w:numId="29">
    <w:abstractNumId w:val="3"/>
  </w:num>
  <w:num w:numId="30">
    <w:abstractNumId w:val="1"/>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8"/>
  </w:num>
  <w:num w:numId="34">
    <w:abstractNumId w:val="4"/>
  </w:num>
  <w:num w:numId="35">
    <w:abstractNumId w:val="4"/>
    <w:lvlOverride w:ilvl="0">
      <w:startOverride w:val="1"/>
    </w:lvlOverride>
  </w:num>
  <w:num w:numId="36">
    <w:abstractNumId w:val="6"/>
  </w:num>
  <w:num w:numId="37">
    <w:abstractNumId w:val="21"/>
  </w:num>
  <w:num w:numId="38">
    <w:abstractNumId w:val="19"/>
  </w:num>
  <w:num w:numId="39">
    <w:abstractNumId w:val="24"/>
  </w:num>
  <w:num w:numId="40">
    <w:abstractNumId w:val="18"/>
  </w:num>
  <w:num w:numId="41">
    <w:abstractNumId w:val="4"/>
    <w:lvlOverride w:ilvl="0">
      <w:startOverride w:val="1"/>
    </w:lvlOverride>
  </w:num>
  <w:num w:numId="42">
    <w:abstractNumId w:val="22"/>
  </w:num>
  <w:num w:numId="43">
    <w:abstractNumId w:val="23"/>
  </w:num>
  <w:num w:numId="44">
    <w:abstractNumId w:val="17"/>
  </w:num>
  <w:num w:numId="45">
    <w:abstractNumId w:val="5"/>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0033E"/>
    <w:rsid w:val="00005D8E"/>
    <w:rsid w:val="00010E68"/>
    <w:rsid w:val="00011C8B"/>
    <w:rsid w:val="000124CE"/>
    <w:rsid w:val="00012B79"/>
    <w:rsid w:val="00015AA5"/>
    <w:rsid w:val="000176BE"/>
    <w:rsid w:val="00027D8D"/>
    <w:rsid w:val="000332A3"/>
    <w:rsid w:val="0003526D"/>
    <w:rsid w:val="000362D1"/>
    <w:rsid w:val="000437E3"/>
    <w:rsid w:val="000439AE"/>
    <w:rsid w:val="00045E9F"/>
    <w:rsid w:val="00045EA3"/>
    <w:rsid w:val="00046B6F"/>
    <w:rsid w:val="0004768B"/>
    <w:rsid w:val="000479B0"/>
    <w:rsid w:val="00050B05"/>
    <w:rsid w:val="00055F40"/>
    <w:rsid w:val="00056C9B"/>
    <w:rsid w:val="000616CE"/>
    <w:rsid w:val="0006194D"/>
    <w:rsid w:val="0006459B"/>
    <w:rsid w:val="00065174"/>
    <w:rsid w:val="000663FC"/>
    <w:rsid w:val="00066699"/>
    <w:rsid w:val="000670F5"/>
    <w:rsid w:val="00067E42"/>
    <w:rsid w:val="00070ADA"/>
    <w:rsid w:val="00080173"/>
    <w:rsid w:val="00080669"/>
    <w:rsid w:val="00083586"/>
    <w:rsid w:val="000838F8"/>
    <w:rsid w:val="00085026"/>
    <w:rsid w:val="00085E2E"/>
    <w:rsid w:val="000861E3"/>
    <w:rsid w:val="00087ADB"/>
    <w:rsid w:val="000911DC"/>
    <w:rsid w:val="00092094"/>
    <w:rsid w:val="0009320F"/>
    <w:rsid w:val="000A0FC4"/>
    <w:rsid w:val="000A4518"/>
    <w:rsid w:val="000A4E27"/>
    <w:rsid w:val="000A670A"/>
    <w:rsid w:val="000A697C"/>
    <w:rsid w:val="000A71F9"/>
    <w:rsid w:val="000B6DAF"/>
    <w:rsid w:val="000B6F4C"/>
    <w:rsid w:val="000C0911"/>
    <w:rsid w:val="000C12B2"/>
    <w:rsid w:val="000C241F"/>
    <w:rsid w:val="000C3C5B"/>
    <w:rsid w:val="000C65DC"/>
    <w:rsid w:val="000D6C51"/>
    <w:rsid w:val="000E2061"/>
    <w:rsid w:val="000E46AF"/>
    <w:rsid w:val="000E64A1"/>
    <w:rsid w:val="000F008C"/>
    <w:rsid w:val="000F2208"/>
    <w:rsid w:val="000F22E1"/>
    <w:rsid w:val="000F3F14"/>
    <w:rsid w:val="000F7DE3"/>
    <w:rsid w:val="001002E9"/>
    <w:rsid w:val="00104158"/>
    <w:rsid w:val="0010421E"/>
    <w:rsid w:val="0010548F"/>
    <w:rsid w:val="00105D2F"/>
    <w:rsid w:val="001140C6"/>
    <w:rsid w:val="001146FB"/>
    <w:rsid w:val="00116238"/>
    <w:rsid w:val="0012020B"/>
    <w:rsid w:val="00123141"/>
    <w:rsid w:val="00124546"/>
    <w:rsid w:val="0012486D"/>
    <w:rsid w:val="00126334"/>
    <w:rsid w:val="00127806"/>
    <w:rsid w:val="00131427"/>
    <w:rsid w:val="00135468"/>
    <w:rsid w:val="001413D5"/>
    <w:rsid w:val="001445D4"/>
    <w:rsid w:val="00146450"/>
    <w:rsid w:val="0015057B"/>
    <w:rsid w:val="001510FD"/>
    <w:rsid w:val="00157487"/>
    <w:rsid w:val="00160912"/>
    <w:rsid w:val="001635C2"/>
    <w:rsid w:val="00164684"/>
    <w:rsid w:val="00165D2F"/>
    <w:rsid w:val="00166C44"/>
    <w:rsid w:val="001723AE"/>
    <w:rsid w:val="00174CA9"/>
    <w:rsid w:val="00174D44"/>
    <w:rsid w:val="001812BD"/>
    <w:rsid w:val="0018299A"/>
    <w:rsid w:val="001858DD"/>
    <w:rsid w:val="0018669F"/>
    <w:rsid w:val="00194F1C"/>
    <w:rsid w:val="001A11B5"/>
    <w:rsid w:val="001A2EF5"/>
    <w:rsid w:val="001A5E9A"/>
    <w:rsid w:val="001A60D6"/>
    <w:rsid w:val="001A796F"/>
    <w:rsid w:val="001B065A"/>
    <w:rsid w:val="001B0BDF"/>
    <w:rsid w:val="001B656D"/>
    <w:rsid w:val="001C0118"/>
    <w:rsid w:val="001C0178"/>
    <w:rsid w:val="001C6DED"/>
    <w:rsid w:val="001D2A05"/>
    <w:rsid w:val="001D3BA9"/>
    <w:rsid w:val="001D4067"/>
    <w:rsid w:val="001D5867"/>
    <w:rsid w:val="001D633C"/>
    <w:rsid w:val="001D7664"/>
    <w:rsid w:val="001E1BB1"/>
    <w:rsid w:val="001E5179"/>
    <w:rsid w:val="001E6A18"/>
    <w:rsid w:val="001E7E8A"/>
    <w:rsid w:val="001F087B"/>
    <w:rsid w:val="001F0F6F"/>
    <w:rsid w:val="001F11FB"/>
    <w:rsid w:val="001F1E31"/>
    <w:rsid w:val="001F4E1D"/>
    <w:rsid w:val="001F733B"/>
    <w:rsid w:val="001F7957"/>
    <w:rsid w:val="001F7A1F"/>
    <w:rsid w:val="0020553F"/>
    <w:rsid w:val="00213589"/>
    <w:rsid w:val="00214286"/>
    <w:rsid w:val="0021443D"/>
    <w:rsid w:val="00224332"/>
    <w:rsid w:val="00230F6E"/>
    <w:rsid w:val="002311D5"/>
    <w:rsid w:val="00231CC2"/>
    <w:rsid w:val="0023294A"/>
    <w:rsid w:val="002404F0"/>
    <w:rsid w:val="002408D5"/>
    <w:rsid w:val="002411E5"/>
    <w:rsid w:val="00243563"/>
    <w:rsid w:val="00245982"/>
    <w:rsid w:val="002476A2"/>
    <w:rsid w:val="00250788"/>
    <w:rsid w:val="00254122"/>
    <w:rsid w:val="00261965"/>
    <w:rsid w:val="00262A5C"/>
    <w:rsid w:val="00264E40"/>
    <w:rsid w:val="0026660C"/>
    <w:rsid w:val="0027582E"/>
    <w:rsid w:val="00275A79"/>
    <w:rsid w:val="00275F46"/>
    <w:rsid w:val="00277148"/>
    <w:rsid w:val="0028279C"/>
    <w:rsid w:val="00283B70"/>
    <w:rsid w:val="0028469A"/>
    <w:rsid w:val="002866DA"/>
    <w:rsid w:val="00286C88"/>
    <w:rsid w:val="002908AC"/>
    <w:rsid w:val="002934DB"/>
    <w:rsid w:val="002A49A8"/>
    <w:rsid w:val="002A5DE7"/>
    <w:rsid w:val="002A76A9"/>
    <w:rsid w:val="002A76CF"/>
    <w:rsid w:val="002B2759"/>
    <w:rsid w:val="002B2F01"/>
    <w:rsid w:val="002B70ED"/>
    <w:rsid w:val="002D03F0"/>
    <w:rsid w:val="002D15D7"/>
    <w:rsid w:val="002D2DEB"/>
    <w:rsid w:val="002D5D22"/>
    <w:rsid w:val="002D6669"/>
    <w:rsid w:val="002E4337"/>
    <w:rsid w:val="002E69D3"/>
    <w:rsid w:val="002F001C"/>
    <w:rsid w:val="002F0314"/>
    <w:rsid w:val="002F1607"/>
    <w:rsid w:val="002F17B1"/>
    <w:rsid w:val="002F1C94"/>
    <w:rsid w:val="002F3491"/>
    <w:rsid w:val="002F3A22"/>
    <w:rsid w:val="002F45BE"/>
    <w:rsid w:val="00301108"/>
    <w:rsid w:val="0030193D"/>
    <w:rsid w:val="00303143"/>
    <w:rsid w:val="00303B81"/>
    <w:rsid w:val="00306100"/>
    <w:rsid w:val="00306844"/>
    <w:rsid w:val="00307226"/>
    <w:rsid w:val="00310AE4"/>
    <w:rsid w:val="00312722"/>
    <w:rsid w:val="003130FB"/>
    <w:rsid w:val="003200EC"/>
    <w:rsid w:val="00321D16"/>
    <w:rsid w:val="00324008"/>
    <w:rsid w:val="00324462"/>
    <w:rsid w:val="00325E02"/>
    <w:rsid w:val="003279FA"/>
    <w:rsid w:val="0033115C"/>
    <w:rsid w:val="00332825"/>
    <w:rsid w:val="00334D42"/>
    <w:rsid w:val="0033562C"/>
    <w:rsid w:val="00337928"/>
    <w:rsid w:val="00346E71"/>
    <w:rsid w:val="003504C8"/>
    <w:rsid w:val="0035227A"/>
    <w:rsid w:val="003536B7"/>
    <w:rsid w:val="0035442F"/>
    <w:rsid w:val="003565C6"/>
    <w:rsid w:val="00356F9D"/>
    <w:rsid w:val="00362608"/>
    <w:rsid w:val="00363582"/>
    <w:rsid w:val="0036384C"/>
    <w:rsid w:val="00363CEE"/>
    <w:rsid w:val="00365BD2"/>
    <w:rsid w:val="00371BB0"/>
    <w:rsid w:val="00372220"/>
    <w:rsid w:val="00372C68"/>
    <w:rsid w:val="00374C2C"/>
    <w:rsid w:val="0037615F"/>
    <w:rsid w:val="00382666"/>
    <w:rsid w:val="00384AB7"/>
    <w:rsid w:val="00384E51"/>
    <w:rsid w:val="00390DF5"/>
    <w:rsid w:val="00391AF3"/>
    <w:rsid w:val="00392A82"/>
    <w:rsid w:val="00397989"/>
    <w:rsid w:val="003A0962"/>
    <w:rsid w:val="003A6DBF"/>
    <w:rsid w:val="003A7A7F"/>
    <w:rsid w:val="003B1845"/>
    <w:rsid w:val="003B2F77"/>
    <w:rsid w:val="003B6E9D"/>
    <w:rsid w:val="003B7F85"/>
    <w:rsid w:val="003C0047"/>
    <w:rsid w:val="003C5350"/>
    <w:rsid w:val="003C6F8A"/>
    <w:rsid w:val="003C7999"/>
    <w:rsid w:val="003D047A"/>
    <w:rsid w:val="003D1DC3"/>
    <w:rsid w:val="003D643E"/>
    <w:rsid w:val="003E49A4"/>
    <w:rsid w:val="003E54E4"/>
    <w:rsid w:val="003F30F7"/>
    <w:rsid w:val="003F74E6"/>
    <w:rsid w:val="00400F4E"/>
    <w:rsid w:val="00403ACE"/>
    <w:rsid w:val="004043EC"/>
    <w:rsid w:val="0040681B"/>
    <w:rsid w:val="00407355"/>
    <w:rsid w:val="00410BCD"/>
    <w:rsid w:val="00412005"/>
    <w:rsid w:val="00413B50"/>
    <w:rsid w:val="0041675E"/>
    <w:rsid w:val="00421FC6"/>
    <w:rsid w:val="00430664"/>
    <w:rsid w:val="00433BA0"/>
    <w:rsid w:val="0043570D"/>
    <w:rsid w:val="004378EA"/>
    <w:rsid w:val="00443E28"/>
    <w:rsid w:val="004464B3"/>
    <w:rsid w:val="00453B1D"/>
    <w:rsid w:val="004543C0"/>
    <w:rsid w:val="00454BE7"/>
    <w:rsid w:val="00454E80"/>
    <w:rsid w:val="00457C3E"/>
    <w:rsid w:val="0046154E"/>
    <w:rsid w:val="00461756"/>
    <w:rsid w:val="00462CDE"/>
    <w:rsid w:val="00463DC9"/>
    <w:rsid w:val="004657EC"/>
    <w:rsid w:val="00465A0A"/>
    <w:rsid w:val="004743A2"/>
    <w:rsid w:val="00474735"/>
    <w:rsid w:val="00475DDB"/>
    <w:rsid w:val="004770B2"/>
    <w:rsid w:val="00480899"/>
    <w:rsid w:val="00481D0C"/>
    <w:rsid w:val="0048256D"/>
    <w:rsid w:val="00482B7E"/>
    <w:rsid w:val="00484C4C"/>
    <w:rsid w:val="004905BD"/>
    <w:rsid w:val="00492E1C"/>
    <w:rsid w:val="00492F3A"/>
    <w:rsid w:val="004931D4"/>
    <w:rsid w:val="0049619D"/>
    <w:rsid w:val="0049796D"/>
    <w:rsid w:val="00497D70"/>
    <w:rsid w:val="00497DCA"/>
    <w:rsid w:val="004A0892"/>
    <w:rsid w:val="004A0F1C"/>
    <w:rsid w:val="004A51DD"/>
    <w:rsid w:val="004A6798"/>
    <w:rsid w:val="004B05E4"/>
    <w:rsid w:val="004B0E2D"/>
    <w:rsid w:val="004B1447"/>
    <w:rsid w:val="004B4694"/>
    <w:rsid w:val="004B5039"/>
    <w:rsid w:val="004B64AF"/>
    <w:rsid w:val="004B7F20"/>
    <w:rsid w:val="004C26B0"/>
    <w:rsid w:val="004C5E26"/>
    <w:rsid w:val="004C7B87"/>
    <w:rsid w:val="004D07F6"/>
    <w:rsid w:val="004E06E1"/>
    <w:rsid w:val="004E1117"/>
    <w:rsid w:val="004E29B3"/>
    <w:rsid w:val="004E54DA"/>
    <w:rsid w:val="004E5ACB"/>
    <w:rsid w:val="004E62BD"/>
    <w:rsid w:val="004E69C3"/>
    <w:rsid w:val="004E6B25"/>
    <w:rsid w:val="004F1C97"/>
    <w:rsid w:val="004F5A4F"/>
    <w:rsid w:val="004F5EA7"/>
    <w:rsid w:val="004F7723"/>
    <w:rsid w:val="00502A56"/>
    <w:rsid w:val="00504BD2"/>
    <w:rsid w:val="0050647C"/>
    <w:rsid w:val="00507638"/>
    <w:rsid w:val="00510971"/>
    <w:rsid w:val="0051162B"/>
    <w:rsid w:val="00512209"/>
    <w:rsid w:val="00514EF6"/>
    <w:rsid w:val="00522298"/>
    <w:rsid w:val="00522A1A"/>
    <w:rsid w:val="0054094D"/>
    <w:rsid w:val="00540DAD"/>
    <w:rsid w:val="00546DD9"/>
    <w:rsid w:val="00547B9A"/>
    <w:rsid w:val="00547C57"/>
    <w:rsid w:val="00550C51"/>
    <w:rsid w:val="00551C94"/>
    <w:rsid w:val="0055213F"/>
    <w:rsid w:val="00556993"/>
    <w:rsid w:val="00565100"/>
    <w:rsid w:val="00565817"/>
    <w:rsid w:val="00571051"/>
    <w:rsid w:val="00571EE6"/>
    <w:rsid w:val="00572A2D"/>
    <w:rsid w:val="00573AE3"/>
    <w:rsid w:val="00575A55"/>
    <w:rsid w:val="005764CF"/>
    <w:rsid w:val="00577725"/>
    <w:rsid w:val="00581282"/>
    <w:rsid w:val="00581FCE"/>
    <w:rsid w:val="005820DA"/>
    <w:rsid w:val="005837DC"/>
    <w:rsid w:val="0058423D"/>
    <w:rsid w:val="00584DA4"/>
    <w:rsid w:val="00585A06"/>
    <w:rsid w:val="00585B48"/>
    <w:rsid w:val="00590D07"/>
    <w:rsid w:val="005949BE"/>
    <w:rsid w:val="00595A11"/>
    <w:rsid w:val="0059663D"/>
    <w:rsid w:val="00597A5F"/>
    <w:rsid w:val="005A1576"/>
    <w:rsid w:val="005A4D94"/>
    <w:rsid w:val="005A57BE"/>
    <w:rsid w:val="005B1674"/>
    <w:rsid w:val="005B2BA9"/>
    <w:rsid w:val="005B7A03"/>
    <w:rsid w:val="005C1EB0"/>
    <w:rsid w:val="005C76FD"/>
    <w:rsid w:val="005C7D07"/>
    <w:rsid w:val="005D55B0"/>
    <w:rsid w:val="005D6670"/>
    <w:rsid w:val="005D7E29"/>
    <w:rsid w:val="005E0E1B"/>
    <w:rsid w:val="005E0F88"/>
    <w:rsid w:val="005E2136"/>
    <w:rsid w:val="005E33D5"/>
    <w:rsid w:val="005E37A0"/>
    <w:rsid w:val="005E4E01"/>
    <w:rsid w:val="005E5AB3"/>
    <w:rsid w:val="005E6CCB"/>
    <w:rsid w:val="005E74D7"/>
    <w:rsid w:val="005F30AB"/>
    <w:rsid w:val="005F3C2D"/>
    <w:rsid w:val="005F4D66"/>
    <w:rsid w:val="006010B5"/>
    <w:rsid w:val="00602153"/>
    <w:rsid w:val="00604635"/>
    <w:rsid w:val="006064C9"/>
    <w:rsid w:val="00607D3C"/>
    <w:rsid w:val="00607E41"/>
    <w:rsid w:val="0061133F"/>
    <w:rsid w:val="00611CC8"/>
    <w:rsid w:val="00611F1A"/>
    <w:rsid w:val="00613504"/>
    <w:rsid w:val="00613665"/>
    <w:rsid w:val="006146B5"/>
    <w:rsid w:val="00614826"/>
    <w:rsid w:val="006167AE"/>
    <w:rsid w:val="00616F93"/>
    <w:rsid w:val="00620079"/>
    <w:rsid w:val="006214AD"/>
    <w:rsid w:val="00623F73"/>
    <w:rsid w:val="006265B0"/>
    <w:rsid w:val="006265C7"/>
    <w:rsid w:val="00626F12"/>
    <w:rsid w:val="00630108"/>
    <w:rsid w:val="00630E26"/>
    <w:rsid w:val="00631944"/>
    <w:rsid w:val="00632782"/>
    <w:rsid w:val="00635991"/>
    <w:rsid w:val="0063618D"/>
    <w:rsid w:val="00636313"/>
    <w:rsid w:val="00637780"/>
    <w:rsid w:val="006378E9"/>
    <w:rsid w:val="00643079"/>
    <w:rsid w:val="00643221"/>
    <w:rsid w:val="00646F9F"/>
    <w:rsid w:val="00651226"/>
    <w:rsid w:val="006512D6"/>
    <w:rsid w:val="0065150E"/>
    <w:rsid w:val="00654688"/>
    <w:rsid w:val="006567C2"/>
    <w:rsid w:val="00657180"/>
    <w:rsid w:val="006621A6"/>
    <w:rsid w:val="006650FD"/>
    <w:rsid w:val="00666725"/>
    <w:rsid w:val="00667F6C"/>
    <w:rsid w:val="0067051D"/>
    <w:rsid w:val="0067117C"/>
    <w:rsid w:val="006717D7"/>
    <w:rsid w:val="00673237"/>
    <w:rsid w:val="00674551"/>
    <w:rsid w:val="00682264"/>
    <w:rsid w:val="00682DB0"/>
    <w:rsid w:val="00682E8D"/>
    <w:rsid w:val="0068416B"/>
    <w:rsid w:val="00684300"/>
    <w:rsid w:val="00684457"/>
    <w:rsid w:val="00686F7C"/>
    <w:rsid w:val="00687D40"/>
    <w:rsid w:val="00690D7E"/>
    <w:rsid w:val="00692F13"/>
    <w:rsid w:val="00695741"/>
    <w:rsid w:val="00695871"/>
    <w:rsid w:val="00695D27"/>
    <w:rsid w:val="006A54C5"/>
    <w:rsid w:val="006A64E1"/>
    <w:rsid w:val="006A6D4E"/>
    <w:rsid w:val="006B473F"/>
    <w:rsid w:val="006B72FF"/>
    <w:rsid w:val="006B73E1"/>
    <w:rsid w:val="006C149D"/>
    <w:rsid w:val="006C44BC"/>
    <w:rsid w:val="006C5AFB"/>
    <w:rsid w:val="006D0842"/>
    <w:rsid w:val="006D1352"/>
    <w:rsid w:val="006D3E11"/>
    <w:rsid w:val="006D3F14"/>
    <w:rsid w:val="006D3F32"/>
    <w:rsid w:val="006D6E4D"/>
    <w:rsid w:val="006D7CEC"/>
    <w:rsid w:val="006E0B31"/>
    <w:rsid w:val="006E0E69"/>
    <w:rsid w:val="006E54FC"/>
    <w:rsid w:val="006F0039"/>
    <w:rsid w:val="006F178E"/>
    <w:rsid w:val="006F2583"/>
    <w:rsid w:val="006F5D2E"/>
    <w:rsid w:val="006F6404"/>
    <w:rsid w:val="00703BE8"/>
    <w:rsid w:val="00704B48"/>
    <w:rsid w:val="00705C4F"/>
    <w:rsid w:val="007069D3"/>
    <w:rsid w:val="00713B2D"/>
    <w:rsid w:val="007173D4"/>
    <w:rsid w:val="00717562"/>
    <w:rsid w:val="007247C5"/>
    <w:rsid w:val="007247C8"/>
    <w:rsid w:val="007254EF"/>
    <w:rsid w:val="00725B79"/>
    <w:rsid w:val="007275BA"/>
    <w:rsid w:val="00731806"/>
    <w:rsid w:val="00736738"/>
    <w:rsid w:val="0074023A"/>
    <w:rsid w:val="007438F9"/>
    <w:rsid w:val="00743FF9"/>
    <w:rsid w:val="0074656A"/>
    <w:rsid w:val="007517DC"/>
    <w:rsid w:val="00752639"/>
    <w:rsid w:val="00756275"/>
    <w:rsid w:val="00756D74"/>
    <w:rsid w:val="0076057D"/>
    <w:rsid w:val="00762D58"/>
    <w:rsid w:val="00764C9A"/>
    <w:rsid w:val="00765846"/>
    <w:rsid w:val="0076777A"/>
    <w:rsid w:val="00772A76"/>
    <w:rsid w:val="0077486F"/>
    <w:rsid w:val="00775195"/>
    <w:rsid w:val="0077736C"/>
    <w:rsid w:val="0077779C"/>
    <w:rsid w:val="007808C9"/>
    <w:rsid w:val="00780934"/>
    <w:rsid w:val="00782170"/>
    <w:rsid w:val="00783F0C"/>
    <w:rsid w:val="00784D58"/>
    <w:rsid w:val="00787B5A"/>
    <w:rsid w:val="0079029D"/>
    <w:rsid w:val="00795B44"/>
    <w:rsid w:val="007A3AF8"/>
    <w:rsid w:val="007B3D45"/>
    <w:rsid w:val="007B44BB"/>
    <w:rsid w:val="007B4DDA"/>
    <w:rsid w:val="007B5699"/>
    <w:rsid w:val="007C2BF3"/>
    <w:rsid w:val="007C35E3"/>
    <w:rsid w:val="007C43B3"/>
    <w:rsid w:val="007C6AB2"/>
    <w:rsid w:val="007C7427"/>
    <w:rsid w:val="007D088F"/>
    <w:rsid w:val="007D0AB8"/>
    <w:rsid w:val="007E0DF3"/>
    <w:rsid w:val="007E2090"/>
    <w:rsid w:val="007E5214"/>
    <w:rsid w:val="007E5673"/>
    <w:rsid w:val="007E7021"/>
    <w:rsid w:val="007E7326"/>
    <w:rsid w:val="007F18D5"/>
    <w:rsid w:val="007F3D00"/>
    <w:rsid w:val="007F3FAD"/>
    <w:rsid w:val="007F6EB2"/>
    <w:rsid w:val="007F7EF7"/>
    <w:rsid w:val="0080056E"/>
    <w:rsid w:val="008020DA"/>
    <w:rsid w:val="008031EF"/>
    <w:rsid w:val="00804153"/>
    <w:rsid w:val="00806A6F"/>
    <w:rsid w:val="00811690"/>
    <w:rsid w:val="00811774"/>
    <w:rsid w:val="008146B1"/>
    <w:rsid w:val="00822D4C"/>
    <w:rsid w:val="00830672"/>
    <w:rsid w:val="0083254E"/>
    <w:rsid w:val="00833DEA"/>
    <w:rsid w:val="00835043"/>
    <w:rsid w:val="008359C6"/>
    <w:rsid w:val="00837F54"/>
    <w:rsid w:val="00844DF5"/>
    <w:rsid w:val="00844FA4"/>
    <w:rsid w:val="00846B39"/>
    <w:rsid w:val="00857D8B"/>
    <w:rsid w:val="00863612"/>
    <w:rsid w:val="0086536F"/>
    <w:rsid w:val="00873BC9"/>
    <w:rsid w:val="00874B5F"/>
    <w:rsid w:val="0088096C"/>
    <w:rsid w:val="00880C9D"/>
    <w:rsid w:val="00883831"/>
    <w:rsid w:val="00884175"/>
    <w:rsid w:val="0088604D"/>
    <w:rsid w:val="00893DCC"/>
    <w:rsid w:val="00894A2B"/>
    <w:rsid w:val="00895448"/>
    <w:rsid w:val="00895E61"/>
    <w:rsid w:val="00897FE5"/>
    <w:rsid w:val="008A0BC1"/>
    <w:rsid w:val="008B344D"/>
    <w:rsid w:val="008B748B"/>
    <w:rsid w:val="008B7D6C"/>
    <w:rsid w:val="008C10AE"/>
    <w:rsid w:val="008C196E"/>
    <w:rsid w:val="008C20F4"/>
    <w:rsid w:val="008C66C0"/>
    <w:rsid w:val="008D1182"/>
    <w:rsid w:val="008D15F2"/>
    <w:rsid w:val="008D3E11"/>
    <w:rsid w:val="008D5159"/>
    <w:rsid w:val="008D5445"/>
    <w:rsid w:val="008D6358"/>
    <w:rsid w:val="008D6863"/>
    <w:rsid w:val="008E0552"/>
    <w:rsid w:val="008E2B8D"/>
    <w:rsid w:val="008E43A3"/>
    <w:rsid w:val="008E5FE6"/>
    <w:rsid w:val="008E7049"/>
    <w:rsid w:val="008E7EA3"/>
    <w:rsid w:val="008F065A"/>
    <w:rsid w:val="008F575F"/>
    <w:rsid w:val="009003FA"/>
    <w:rsid w:val="0090055E"/>
    <w:rsid w:val="009020A6"/>
    <w:rsid w:val="00902A98"/>
    <w:rsid w:val="00904AB8"/>
    <w:rsid w:val="00905351"/>
    <w:rsid w:val="009057A6"/>
    <w:rsid w:val="009111B2"/>
    <w:rsid w:val="00915CFC"/>
    <w:rsid w:val="00916D89"/>
    <w:rsid w:val="00917608"/>
    <w:rsid w:val="00917FB2"/>
    <w:rsid w:val="00922548"/>
    <w:rsid w:val="00926F13"/>
    <w:rsid w:val="00930C98"/>
    <w:rsid w:val="00935F2F"/>
    <w:rsid w:val="00940B80"/>
    <w:rsid w:val="00940EAA"/>
    <w:rsid w:val="0094125B"/>
    <w:rsid w:val="00941CB7"/>
    <w:rsid w:val="00943144"/>
    <w:rsid w:val="00943F9D"/>
    <w:rsid w:val="00947B06"/>
    <w:rsid w:val="00951746"/>
    <w:rsid w:val="00953AAD"/>
    <w:rsid w:val="00956A2B"/>
    <w:rsid w:val="0096031D"/>
    <w:rsid w:val="00962EB9"/>
    <w:rsid w:val="00963533"/>
    <w:rsid w:val="009642E8"/>
    <w:rsid w:val="00965417"/>
    <w:rsid w:val="00966B90"/>
    <w:rsid w:val="00972BB4"/>
    <w:rsid w:val="009739DD"/>
    <w:rsid w:val="00973BC2"/>
    <w:rsid w:val="00976A94"/>
    <w:rsid w:val="009809A8"/>
    <w:rsid w:val="009813D5"/>
    <w:rsid w:val="0098716A"/>
    <w:rsid w:val="009945D4"/>
    <w:rsid w:val="00995E64"/>
    <w:rsid w:val="009A4590"/>
    <w:rsid w:val="009B1620"/>
    <w:rsid w:val="009B3021"/>
    <w:rsid w:val="009B77D0"/>
    <w:rsid w:val="009C121F"/>
    <w:rsid w:val="009D15B4"/>
    <w:rsid w:val="009D2FC1"/>
    <w:rsid w:val="009D40AC"/>
    <w:rsid w:val="009D5068"/>
    <w:rsid w:val="009D57D6"/>
    <w:rsid w:val="009D596C"/>
    <w:rsid w:val="009D5E64"/>
    <w:rsid w:val="009E1526"/>
    <w:rsid w:val="009E18D2"/>
    <w:rsid w:val="009E211E"/>
    <w:rsid w:val="009E4651"/>
    <w:rsid w:val="009F0748"/>
    <w:rsid w:val="009F0750"/>
    <w:rsid w:val="009F0886"/>
    <w:rsid w:val="009F14B0"/>
    <w:rsid w:val="009F1847"/>
    <w:rsid w:val="009F256D"/>
    <w:rsid w:val="009F392C"/>
    <w:rsid w:val="009F44A5"/>
    <w:rsid w:val="009F773F"/>
    <w:rsid w:val="00A008EA"/>
    <w:rsid w:val="00A02728"/>
    <w:rsid w:val="00A05252"/>
    <w:rsid w:val="00A05717"/>
    <w:rsid w:val="00A06830"/>
    <w:rsid w:val="00A22374"/>
    <w:rsid w:val="00A25DF8"/>
    <w:rsid w:val="00A30C58"/>
    <w:rsid w:val="00A31AE7"/>
    <w:rsid w:val="00A321AF"/>
    <w:rsid w:val="00A3440B"/>
    <w:rsid w:val="00A400ED"/>
    <w:rsid w:val="00A41590"/>
    <w:rsid w:val="00A46249"/>
    <w:rsid w:val="00A46D56"/>
    <w:rsid w:val="00A546D5"/>
    <w:rsid w:val="00A548A1"/>
    <w:rsid w:val="00A57249"/>
    <w:rsid w:val="00A60BF4"/>
    <w:rsid w:val="00A6263A"/>
    <w:rsid w:val="00A63EC0"/>
    <w:rsid w:val="00A6566D"/>
    <w:rsid w:val="00A66C0B"/>
    <w:rsid w:val="00A67A53"/>
    <w:rsid w:val="00A67D71"/>
    <w:rsid w:val="00A72691"/>
    <w:rsid w:val="00A75D8C"/>
    <w:rsid w:val="00A8265B"/>
    <w:rsid w:val="00A82DBB"/>
    <w:rsid w:val="00A920B5"/>
    <w:rsid w:val="00A97D2B"/>
    <w:rsid w:val="00AA0BC0"/>
    <w:rsid w:val="00AA0E59"/>
    <w:rsid w:val="00AA1A2F"/>
    <w:rsid w:val="00AA6791"/>
    <w:rsid w:val="00AA6854"/>
    <w:rsid w:val="00AB1046"/>
    <w:rsid w:val="00AB6715"/>
    <w:rsid w:val="00AC0FB1"/>
    <w:rsid w:val="00AD7AD4"/>
    <w:rsid w:val="00AE0235"/>
    <w:rsid w:val="00AE1699"/>
    <w:rsid w:val="00AE26E8"/>
    <w:rsid w:val="00AE4C0E"/>
    <w:rsid w:val="00AE67B4"/>
    <w:rsid w:val="00AE7371"/>
    <w:rsid w:val="00AF7B2E"/>
    <w:rsid w:val="00B0161F"/>
    <w:rsid w:val="00B05AF7"/>
    <w:rsid w:val="00B07C3F"/>
    <w:rsid w:val="00B11444"/>
    <w:rsid w:val="00B12BFF"/>
    <w:rsid w:val="00B1424A"/>
    <w:rsid w:val="00B23107"/>
    <w:rsid w:val="00B26694"/>
    <w:rsid w:val="00B302CD"/>
    <w:rsid w:val="00B309BD"/>
    <w:rsid w:val="00B3294A"/>
    <w:rsid w:val="00B33E08"/>
    <w:rsid w:val="00B34596"/>
    <w:rsid w:val="00B35CFE"/>
    <w:rsid w:val="00B369B5"/>
    <w:rsid w:val="00B41C14"/>
    <w:rsid w:val="00B41ED5"/>
    <w:rsid w:val="00B45414"/>
    <w:rsid w:val="00B50626"/>
    <w:rsid w:val="00B65BC9"/>
    <w:rsid w:val="00B704C5"/>
    <w:rsid w:val="00B7142A"/>
    <w:rsid w:val="00B739CF"/>
    <w:rsid w:val="00B8325E"/>
    <w:rsid w:val="00B86542"/>
    <w:rsid w:val="00B86B75"/>
    <w:rsid w:val="00B9494D"/>
    <w:rsid w:val="00B97208"/>
    <w:rsid w:val="00BA07D7"/>
    <w:rsid w:val="00BA14D4"/>
    <w:rsid w:val="00BA1523"/>
    <w:rsid w:val="00BA18DF"/>
    <w:rsid w:val="00BA2ECB"/>
    <w:rsid w:val="00BA4027"/>
    <w:rsid w:val="00BA4E73"/>
    <w:rsid w:val="00BB48A5"/>
    <w:rsid w:val="00BC11E7"/>
    <w:rsid w:val="00BC48D5"/>
    <w:rsid w:val="00BC57E0"/>
    <w:rsid w:val="00BD11F4"/>
    <w:rsid w:val="00BD4603"/>
    <w:rsid w:val="00BD48DD"/>
    <w:rsid w:val="00BE3515"/>
    <w:rsid w:val="00BE4670"/>
    <w:rsid w:val="00BF2D1D"/>
    <w:rsid w:val="00BF6FCD"/>
    <w:rsid w:val="00C001E8"/>
    <w:rsid w:val="00C01C10"/>
    <w:rsid w:val="00C01D7D"/>
    <w:rsid w:val="00C040AD"/>
    <w:rsid w:val="00C04C27"/>
    <w:rsid w:val="00C10C9B"/>
    <w:rsid w:val="00C10F12"/>
    <w:rsid w:val="00C11312"/>
    <w:rsid w:val="00C13A08"/>
    <w:rsid w:val="00C15A6F"/>
    <w:rsid w:val="00C16AC1"/>
    <w:rsid w:val="00C20AF8"/>
    <w:rsid w:val="00C261AA"/>
    <w:rsid w:val="00C2718A"/>
    <w:rsid w:val="00C3133A"/>
    <w:rsid w:val="00C333F8"/>
    <w:rsid w:val="00C34BF7"/>
    <w:rsid w:val="00C34EC4"/>
    <w:rsid w:val="00C358A2"/>
    <w:rsid w:val="00C35C00"/>
    <w:rsid w:val="00C35C77"/>
    <w:rsid w:val="00C36279"/>
    <w:rsid w:val="00C37121"/>
    <w:rsid w:val="00C4028C"/>
    <w:rsid w:val="00C47159"/>
    <w:rsid w:val="00C5471D"/>
    <w:rsid w:val="00C54ADE"/>
    <w:rsid w:val="00C54D87"/>
    <w:rsid w:val="00C5568D"/>
    <w:rsid w:val="00C5662D"/>
    <w:rsid w:val="00C57D6F"/>
    <w:rsid w:val="00C60315"/>
    <w:rsid w:val="00C64974"/>
    <w:rsid w:val="00C6525C"/>
    <w:rsid w:val="00C675E8"/>
    <w:rsid w:val="00C70211"/>
    <w:rsid w:val="00C7085D"/>
    <w:rsid w:val="00C7602A"/>
    <w:rsid w:val="00C77BE5"/>
    <w:rsid w:val="00C824CC"/>
    <w:rsid w:val="00C84326"/>
    <w:rsid w:val="00C91BA2"/>
    <w:rsid w:val="00C92775"/>
    <w:rsid w:val="00C95468"/>
    <w:rsid w:val="00CA12C6"/>
    <w:rsid w:val="00CA2282"/>
    <w:rsid w:val="00CA47C4"/>
    <w:rsid w:val="00CA4B2A"/>
    <w:rsid w:val="00CA644E"/>
    <w:rsid w:val="00CA6DA3"/>
    <w:rsid w:val="00CB05BF"/>
    <w:rsid w:val="00CB31E3"/>
    <w:rsid w:val="00CB5764"/>
    <w:rsid w:val="00CC093C"/>
    <w:rsid w:val="00CC0A6F"/>
    <w:rsid w:val="00CC34C0"/>
    <w:rsid w:val="00CC6E7F"/>
    <w:rsid w:val="00CC761A"/>
    <w:rsid w:val="00CD2673"/>
    <w:rsid w:val="00CD293D"/>
    <w:rsid w:val="00CD5241"/>
    <w:rsid w:val="00CD5490"/>
    <w:rsid w:val="00CD7887"/>
    <w:rsid w:val="00CE3ED0"/>
    <w:rsid w:val="00CE47CF"/>
    <w:rsid w:val="00CE7C32"/>
    <w:rsid w:val="00CF0FFA"/>
    <w:rsid w:val="00CF137F"/>
    <w:rsid w:val="00CF1877"/>
    <w:rsid w:val="00CF207E"/>
    <w:rsid w:val="00CF30AD"/>
    <w:rsid w:val="00D00E56"/>
    <w:rsid w:val="00D03AE1"/>
    <w:rsid w:val="00D050AC"/>
    <w:rsid w:val="00D060F4"/>
    <w:rsid w:val="00D0677B"/>
    <w:rsid w:val="00D07D93"/>
    <w:rsid w:val="00D10E61"/>
    <w:rsid w:val="00D115C9"/>
    <w:rsid w:val="00D1339E"/>
    <w:rsid w:val="00D146E3"/>
    <w:rsid w:val="00D20143"/>
    <w:rsid w:val="00D20210"/>
    <w:rsid w:val="00D217CE"/>
    <w:rsid w:val="00D21CC2"/>
    <w:rsid w:val="00D23721"/>
    <w:rsid w:val="00D24DB1"/>
    <w:rsid w:val="00D25C52"/>
    <w:rsid w:val="00D26037"/>
    <w:rsid w:val="00D34C58"/>
    <w:rsid w:val="00D36692"/>
    <w:rsid w:val="00D37FE0"/>
    <w:rsid w:val="00D4000E"/>
    <w:rsid w:val="00D42B9C"/>
    <w:rsid w:val="00D44633"/>
    <w:rsid w:val="00D47415"/>
    <w:rsid w:val="00D4792C"/>
    <w:rsid w:val="00D5213B"/>
    <w:rsid w:val="00D57F23"/>
    <w:rsid w:val="00D62890"/>
    <w:rsid w:val="00D64627"/>
    <w:rsid w:val="00D70F64"/>
    <w:rsid w:val="00D7163D"/>
    <w:rsid w:val="00D73D63"/>
    <w:rsid w:val="00D75A83"/>
    <w:rsid w:val="00D76127"/>
    <w:rsid w:val="00D80E90"/>
    <w:rsid w:val="00D81C51"/>
    <w:rsid w:val="00D90341"/>
    <w:rsid w:val="00D914B0"/>
    <w:rsid w:val="00DA1655"/>
    <w:rsid w:val="00DA2AC6"/>
    <w:rsid w:val="00DA2D3F"/>
    <w:rsid w:val="00DA39FC"/>
    <w:rsid w:val="00DA567E"/>
    <w:rsid w:val="00DB4470"/>
    <w:rsid w:val="00DB6C6A"/>
    <w:rsid w:val="00DB710B"/>
    <w:rsid w:val="00DC09CC"/>
    <w:rsid w:val="00DC331C"/>
    <w:rsid w:val="00DC4050"/>
    <w:rsid w:val="00DC61F9"/>
    <w:rsid w:val="00DC6F3F"/>
    <w:rsid w:val="00DD01FA"/>
    <w:rsid w:val="00DD0859"/>
    <w:rsid w:val="00DD0CDF"/>
    <w:rsid w:val="00DD19C3"/>
    <w:rsid w:val="00DD1CE6"/>
    <w:rsid w:val="00DD3614"/>
    <w:rsid w:val="00DD393D"/>
    <w:rsid w:val="00DD4A30"/>
    <w:rsid w:val="00DE2B1F"/>
    <w:rsid w:val="00DE2F0A"/>
    <w:rsid w:val="00DE2F79"/>
    <w:rsid w:val="00DE70B6"/>
    <w:rsid w:val="00DE78F3"/>
    <w:rsid w:val="00DF17B2"/>
    <w:rsid w:val="00DF2119"/>
    <w:rsid w:val="00DF21DD"/>
    <w:rsid w:val="00E00EC5"/>
    <w:rsid w:val="00E05161"/>
    <w:rsid w:val="00E100EF"/>
    <w:rsid w:val="00E130C4"/>
    <w:rsid w:val="00E143DA"/>
    <w:rsid w:val="00E16328"/>
    <w:rsid w:val="00E1729E"/>
    <w:rsid w:val="00E17D0D"/>
    <w:rsid w:val="00E17FCB"/>
    <w:rsid w:val="00E202C0"/>
    <w:rsid w:val="00E25A1E"/>
    <w:rsid w:val="00E262EB"/>
    <w:rsid w:val="00E26516"/>
    <w:rsid w:val="00E315A3"/>
    <w:rsid w:val="00E326C7"/>
    <w:rsid w:val="00E367BA"/>
    <w:rsid w:val="00E40432"/>
    <w:rsid w:val="00E4119B"/>
    <w:rsid w:val="00E44195"/>
    <w:rsid w:val="00E44A7E"/>
    <w:rsid w:val="00E47C88"/>
    <w:rsid w:val="00E50D24"/>
    <w:rsid w:val="00E54BC6"/>
    <w:rsid w:val="00E573B1"/>
    <w:rsid w:val="00E57414"/>
    <w:rsid w:val="00E61775"/>
    <w:rsid w:val="00E70F49"/>
    <w:rsid w:val="00E74095"/>
    <w:rsid w:val="00E75525"/>
    <w:rsid w:val="00E76DDC"/>
    <w:rsid w:val="00E83D21"/>
    <w:rsid w:val="00E85099"/>
    <w:rsid w:val="00E8727D"/>
    <w:rsid w:val="00E91DC7"/>
    <w:rsid w:val="00E92C29"/>
    <w:rsid w:val="00E942E4"/>
    <w:rsid w:val="00E953C4"/>
    <w:rsid w:val="00E95E4C"/>
    <w:rsid w:val="00E96E26"/>
    <w:rsid w:val="00EA0D47"/>
    <w:rsid w:val="00EA12AE"/>
    <w:rsid w:val="00EA1888"/>
    <w:rsid w:val="00EA1966"/>
    <w:rsid w:val="00EA3717"/>
    <w:rsid w:val="00EA38A3"/>
    <w:rsid w:val="00EA512E"/>
    <w:rsid w:val="00EA572D"/>
    <w:rsid w:val="00EB0399"/>
    <w:rsid w:val="00EB2B29"/>
    <w:rsid w:val="00EB3D9B"/>
    <w:rsid w:val="00EB4336"/>
    <w:rsid w:val="00EC07E3"/>
    <w:rsid w:val="00EC0D1C"/>
    <w:rsid w:val="00EC0DB3"/>
    <w:rsid w:val="00EC7516"/>
    <w:rsid w:val="00ED1479"/>
    <w:rsid w:val="00ED28DC"/>
    <w:rsid w:val="00ED363F"/>
    <w:rsid w:val="00EE17DB"/>
    <w:rsid w:val="00EE3B97"/>
    <w:rsid w:val="00EF1573"/>
    <w:rsid w:val="00EF2B63"/>
    <w:rsid w:val="00EF59D6"/>
    <w:rsid w:val="00F01E1B"/>
    <w:rsid w:val="00F030EA"/>
    <w:rsid w:val="00F04854"/>
    <w:rsid w:val="00F07500"/>
    <w:rsid w:val="00F11B49"/>
    <w:rsid w:val="00F13042"/>
    <w:rsid w:val="00F143D2"/>
    <w:rsid w:val="00F15518"/>
    <w:rsid w:val="00F22582"/>
    <w:rsid w:val="00F24F4E"/>
    <w:rsid w:val="00F25321"/>
    <w:rsid w:val="00F25814"/>
    <w:rsid w:val="00F27924"/>
    <w:rsid w:val="00F3569A"/>
    <w:rsid w:val="00F378F0"/>
    <w:rsid w:val="00F37983"/>
    <w:rsid w:val="00F37FB1"/>
    <w:rsid w:val="00F4108B"/>
    <w:rsid w:val="00F42B05"/>
    <w:rsid w:val="00F44677"/>
    <w:rsid w:val="00F473B2"/>
    <w:rsid w:val="00F5088A"/>
    <w:rsid w:val="00F50FE5"/>
    <w:rsid w:val="00F61823"/>
    <w:rsid w:val="00F61DFA"/>
    <w:rsid w:val="00F62A5A"/>
    <w:rsid w:val="00F64155"/>
    <w:rsid w:val="00F6473F"/>
    <w:rsid w:val="00F65E13"/>
    <w:rsid w:val="00F70085"/>
    <w:rsid w:val="00F73D80"/>
    <w:rsid w:val="00F749A0"/>
    <w:rsid w:val="00F805EA"/>
    <w:rsid w:val="00F806B3"/>
    <w:rsid w:val="00F8755D"/>
    <w:rsid w:val="00F909CA"/>
    <w:rsid w:val="00F91F77"/>
    <w:rsid w:val="00F930E8"/>
    <w:rsid w:val="00F97143"/>
    <w:rsid w:val="00F97DB2"/>
    <w:rsid w:val="00FA03BD"/>
    <w:rsid w:val="00FA2014"/>
    <w:rsid w:val="00FA271C"/>
    <w:rsid w:val="00FB21E4"/>
    <w:rsid w:val="00FB4394"/>
    <w:rsid w:val="00FC191F"/>
    <w:rsid w:val="00FC261C"/>
    <w:rsid w:val="00FC608C"/>
    <w:rsid w:val="00FC7031"/>
    <w:rsid w:val="00FC71EA"/>
    <w:rsid w:val="00FC7A0F"/>
    <w:rsid w:val="00FC7E4F"/>
    <w:rsid w:val="00FD061D"/>
    <w:rsid w:val="00FD5D2F"/>
    <w:rsid w:val="00FD66D8"/>
    <w:rsid w:val="00FD74F1"/>
    <w:rsid w:val="00FE4AF3"/>
    <w:rsid w:val="00FF2DC5"/>
    <w:rsid w:val="00FF3088"/>
    <w:rsid w:val="00FF3424"/>
    <w:rsid w:val="00FF588A"/>
    <w:rsid w:val="00FF772D"/>
    <w:rsid w:val="01F53415"/>
    <w:rsid w:val="032B1035"/>
    <w:rsid w:val="037B2043"/>
    <w:rsid w:val="043C402C"/>
    <w:rsid w:val="04C58605"/>
    <w:rsid w:val="081B982C"/>
    <w:rsid w:val="08BE3631"/>
    <w:rsid w:val="0A062623"/>
    <w:rsid w:val="0B9700ED"/>
    <w:rsid w:val="0C56D33E"/>
    <w:rsid w:val="0D530F24"/>
    <w:rsid w:val="0D67D0DD"/>
    <w:rsid w:val="0E4A4F7A"/>
    <w:rsid w:val="100FCD60"/>
    <w:rsid w:val="10708414"/>
    <w:rsid w:val="122FE85A"/>
    <w:rsid w:val="1272F836"/>
    <w:rsid w:val="12C79B06"/>
    <w:rsid w:val="12FF1AD2"/>
    <w:rsid w:val="151F25E9"/>
    <w:rsid w:val="15204323"/>
    <w:rsid w:val="169E8240"/>
    <w:rsid w:val="1ABD072E"/>
    <w:rsid w:val="1B9278F0"/>
    <w:rsid w:val="1B9585DD"/>
    <w:rsid w:val="1B9F46DA"/>
    <w:rsid w:val="1C4D932B"/>
    <w:rsid w:val="1D1B802E"/>
    <w:rsid w:val="1E80EA85"/>
    <w:rsid w:val="21B2E2C1"/>
    <w:rsid w:val="2355C5C4"/>
    <w:rsid w:val="24F1A738"/>
    <w:rsid w:val="2551EC51"/>
    <w:rsid w:val="268D7799"/>
    <w:rsid w:val="268FA6C5"/>
    <w:rsid w:val="26CB94B2"/>
    <w:rsid w:val="272B5C41"/>
    <w:rsid w:val="282B7726"/>
    <w:rsid w:val="28398FBA"/>
    <w:rsid w:val="28399767"/>
    <w:rsid w:val="297D8546"/>
    <w:rsid w:val="29B78B66"/>
    <w:rsid w:val="2B46F50F"/>
    <w:rsid w:val="2CACE197"/>
    <w:rsid w:val="2CD27C4A"/>
    <w:rsid w:val="2D323B9D"/>
    <w:rsid w:val="30B99548"/>
    <w:rsid w:val="32269C7D"/>
    <w:rsid w:val="3248F79A"/>
    <w:rsid w:val="32A66701"/>
    <w:rsid w:val="32DE2F1E"/>
    <w:rsid w:val="3320859D"/>
    <w:rsid w:val="3395CEF3"/>
    <w:rsid w:val="33C6EAE1"/>
    <w:rsid w:val="34F6FEEF"/>
    <w:rsid w:val="35BCF5C5"/>
    <w:rsid w:val="3769FC2D"/>
    <w:rsid w:val="37B4EA3B"/>
    <w:rsid w:val="3885E81B"/>
    <w:rsid w:val="39E558D7"/>
    <w:rsid w:val="3A20D542"/>
    <w:rsid w:val="3C135AA1"/>
    <w:rsid w:val="3C4092A6"/>
    <w:rsid w:val="3DF16D11"/>
    <w:rsid w:val="3F8D3D72"/>
    <w:rsid w:val="403942D2"/>
    <w:rsid w:val="40753295"/>
    <w:rsid w:val="40CD01AC"/>
    <w:rsid w:val="430AFFDD"/>
    <w:rsid w:val="43EFC555"/>
    <w:rsid w:val="4450ED93"/>
    <w:rsid w:val="44923B81"/>
    <w:rsid w:val="4837C1BB"/>
    <w:rsid w:val="49718079"/>
    <w:rsid w:val="4A9E59FD"/>
    <w:rsid w:val="4AE19D57"/>
    <w:rsid w:val="4D069D3D"/>
    <w:rsid w:val="5064A5CF"/>
    <w:rsid w:val="53BF03EF"/>
    <w:rsid w:val="53CA90FE"/>
    <w:rsid w:val="561A9046"/>
    <w:rsid w:val="564AE1B9"/>
    <w:rsid w:val="56AFB513"/>
    <w:rsid w:val="59A5E1EF"/>
    <w:rsid w:val="5A566B04"/>
    <w:rsid w:val="5AADE7B5"/>
    <w:rsid w:val="5BF23B65"/>
    <w:rsid w:val="5C54A5B1"/>
    <w:rsid w:val="5C7A10C8"/>
    <w:rsid w:val="5CCCF8F2"/>
    <w:rsid w:val="5D33AC1B"/>
    <w:rsid w:val="5D4263EB"/>
    <w:rsid w:val="5F57D6ED"/>
    <w:rsid w:val="5F6FEB51"/>
    <w:rsid w:val="6041C79A"/>
    <w:rsid w:val="6046A7EA"/>
    <w:rsid w:val="612A2EF0"/>
    <w:rsid w:val="629D1460"/>
    <w:rsid w:val="643032A9"/>
    <w:rsid w:val="654618DE"/>
    <w:rsid w:val="657C7028"/>
    <w:rsid w:val="6586E03A"/>
    <w:rsid w:val="6593E199"/>
    <w:rsid w:val="6664BB0D"/>
    <w:rsid w:val="68164CCC"/>
    <w:rsid w:val="6900DA2F"/>
    <w:rsid w:val="6955F6E5"/>
    <w:rsid w:val="6A896BA4"/>
    <w:rsid w:val="6AFC9B7C"/>
    <w:rsid w:val="6C74E6FB"/>
    <w:rsid w:val="6CA4FEA9"/>
    <w:rsid w:val="6E487C56"/>
    <w:rsid w:val="6F22AE3B"/>
    <w:rsid w:val="7144F854"/>
    <w:rsid w:val="72A379A0"/>
    <w:rsid w:val="730311DE"/>
    <w:rsid w:val="73F0F964"/>
    <w:rsid w:val="740F8C7A"/>
    <w:rsid w:val="7501F7F5"/>
    <w:rsid w:val="75DFFD6C"/>
    <w:rsid w:val="78CDBAFF"/>
    <w:rsid w:val="7A7E6F0E"/>
    <w:rsid w:val="7F307C4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72781A"/>
  <w15:docId w15:val="{79E5A891-5D74-400C-AD93-41299416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iPriority="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qFormat="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7C88"/>
    <w:rPr>
      <w:sz w:val="20"/>
      <w:szCs w:val="20"/>
      <w:lang w:val="en-GB"/>
    </w:rPr>
  </w:style>
  <w:style w:type="paragraph" w:styleId="Heading1">
    <w:name w:val="heading 1"/>
    <w:basedOn w:val="Normal"/>
    <w:next w:val="Normal"/>
    <w:link w:val="Heading1Char"/>
    <w:uiPriority w:val="9"/>
    <w:qFormat/>
    <w:rsid w:val="00E47C88"/>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E47C88"/>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E47C88"/>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unhideWhenUsed/>
    <w:qFormat/>
    <w:rsid w:val="00E47C88"/>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unhideWhenUsed/>
    <w:qFormat/>
    <w:rsid w:val="00E47C88"/>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unhideWhenUsed/>
    <w:qFormat/>
    <w:rsid w:val="00E47C88"/>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unhideWhenUsed/>
    <w:qFormat/>
    <w:rsid w:val="00E47C88"/>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unhideWhenUsed/>
    <w:qFormat/>
    <w:rsid w:val="00E47C88"/>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E47C88"/>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Normal"/>
    <w:link w:val="TitleChar"/>
    <w:uiPriority w:val="10"/>
    <w:qFormat/>
    <w:rsid w:val="00E47C88"/>
    <w:pPr>
      <w:spacing w:before="720"/>
    </w:pPr>
    <w:rPr>
      <w:caps/>
      <w:color w:val="4472C4" w:themeColor="accent1"/>
      <w:spacing w:val="10"/>
      <w:kern w:val="28"/>
      <w:sz w:val="52"/>
      <w:szCs w:val="52"/>
    </w:rPr>
  </w:style>
  <w:style w:type="paragraph" w:styleId="Subtitle">
    <w:name w:val="Subtitle"/>
    <w:basedOn w:val="Normal"/>
    <w:next w:val="Normal"/>
    <w:link w:val="SubtitleChar"/>
    <w:uiPriority w:val="11"/>
    <w:qFormat/>
    <w:rsid w:val="00E47C88"/>
    <w:pPr>
      <w:spacing w:after="1000" w:line="240" w:lineRule="auto"/>
    </w:pPr>
    <w:rPr>
      <w:caps/>
      <w:color w:val="595959" w:themeColor="text1" w:themeTint="A6"/>
      <w:spacing w:val="10"/>
      <w:sz w:val="24"/>
      <w:szCs w:val="24"/>
    </w:rPr>
  </w:style>
  <w:style w:type="paragraph" w:customStyle="1" w:styleId="Author">
    <w:name w:val="Author"/>
    <w:next w:val="BodyText"/>
    <w:pPr>
      <w:keepNext/>
      <w:keepLines/>
      <w:jc w:val="center"/>
    </w:pPr>
  </w:style>
  <w:style w:type="paragraph" w:styleId="Date">
    <w:name w:val="Date"/>
    <w:next w:val="BodyText"/>
    <w:pPr>
      <w:keepNext/>
      <w:keepLines/>
      <w:jc w:val="center"/>
    </w:pPr>
  </w:style>
  <w:style w:type="paragraph" w:customStyle="1" w:styleId="Abstract">
    <w:name w:val="Abstract"/>
    <w:basedOn w:val="Normal"/>
    <w:next w:val="BodyText"/>
    <w:pPr>
      <w:keepNext/>
      <w:keepLines/>
      <w:spacing w:before="300" w:after="300"/>
    </w:pPr>
  </w:style>
  <w:style w:type="paragraph" w:styleId="Bibliography">
    <w:name w:val="Bibliography"/>
    <w:basedOn w:val="Normal"/>
    <w:qFormat/>
  </w:style>
  <w:style w:type="paragraph" w:styleId="BlockText">
    <w:name w:val="Block Text"/>
    <w:basedOn w:val="BodyText"/>
    <w:next w:val="BodyText"/>
    <w:uiPriority w:val="9"/>
    <w:unhideWhenUsed/>
    <w:pPr>
      <w:spacing w:before="100" w:after="100"/>
    </w:pPr>
    <w:rPr>
      <w:rFonts w:asciiTheme="majorHAnsi" w:eastAsiaTheme="majorEastAsia" w:hAnsiTheme="majorHAnsi" w:cstheme="majorBidi"/>
      <w:bCs/>
    </w:rPr>
  </w:style>
  <w:style w:type="paragraph" w:styleId="FootnoteText">
    <w:name w:val="footnote text"/>
    <w:basedOn w:val="Normal"/>
    <w:uiPriority w:val="9"/>
    <w:unhideWhenUsed/>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next w:val="Normal"/>
    <w:link w:val="CaptionChar"/>
    <w:uiPriority w:val="35"/>
    <w:unhideWhenUsed/>
    <w:qFormat/>
    <w:rsid w:val="00E47C88"/>
    <w:rPr>
      <w:b/>
      <w:bCs/>
      <w:color w:val="2F5496" w:themeColor="accent1" w:themeShade="BF"/>
      <w:sz w:val="16"/>
      <w:szCs w:val="16"/>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uiPriority w:val="35"/>
    <w:rPr>
      <w:b/>
      <w:bCs/>
      <w:color w:val="2F5496" w:themeColor="accent1" w:themeShade="BF"/>
      <w:sz w:val="16"/>
      <w:szCs w:val="16"/>
    </w:rPr>
  </w:style>
  <w:style w:type="character" w:customStyle="1" w:styleId="VerbatimChar">
    <w:name w:val="Verbatim Char"/>
    <w:basedOn w:val="CaptionChar"/>
    <w:link w:val="SourceCode"/>
    <w:rPr>
      <w:rFonts w:ascii="Consolas" w:hAnsi="Consolas"/>
      <w:b/>
      <w:bCs/>
      <w:caps w:val="0"/>
      <w:color w:val="2F5496" w:themeColor="accent1" w:themeShade="BF"/>
      <w:sz w:val="22"/>
      <w:szCs w:val="18"/>
    </w:rPr>
  </w:style>
  <w:style w:type="character" w:styleId="FootnoteReference">
    <w:name w:val="footnote reference"/>
    <w:basedOn w:val="CaptionChar"/>
    <w:rPr>
      <w:b/>
      <w:bCs/>
      <w:caps w:val="0"/>
      <w:color w:val="2F5496" w:themeColor="accent1" w:themeShade="BF"/>
      <w:sz w:val="16"/>
      <w:szCs w:val="18"/>
      <w:vertAlign w:val="superscript"/>
    </w:rPr>
  </w:style>
  <w:style w:type="character" w:styleId="Hyperlink">
    <w:name w:val="Hyperlink"/>
    <w:basedOn w:val="CaptionChar"/>
    <w:uiPriority w:val="99"/>
    <w:rPr>
      <w:b/>
      <w:bCs/>
      <w:caps w:val="0"/>
      <w:color w:val="4472C4" w:themeColor="accent1"/>
      <w:sz w:val="16"/>
      <w:szCs w:val="18"/>
    </w:rPr>
  </w:style>
  <w:style w:type="paragraph" w:styleId="TOCHeading">
    <w:name w:val="TOC Heading"/>
    <w:basedOn w:val="Heading1"/>
    <w:next w:val="Normal"/>
    <w:uiPriority w:val="39"/>
    <w:unhideWhenUsed/>
    <w:qFormat/>
    <w:rsid w:val="009F0748"/>
    <w:pPr>
      <w:outlineLvl w:val="9"/>
    </w:pPr>
    <w:rPr>
      <w:rFonts w:ascii="Aptos" w:hAnsi="Aptos"/>
      <w:color w:val="000000" w:themeColor="tex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val="0"/>
      <w:bCs/>
      <w:caps w:val="0"/>
      <w:color w:val="007020"/>
      <w:sz w:val="22"/>
      <w:szCs w:val="18"/>
    </w:rPr>
  </w:style>
  <w:style w:type="character" w:customStyle="1" w:styleId="DataTypeTok">
    <w:name w:val="DataTypeTok"/>
    <w:basedOn w:val="VerbatimChar"/>
    <w:rPr>
      <w:rFonts w:ascii="Consolas" w:hAnsi="Consolas"/>
      <w:b/>
      <w:bCs/>
      <w:caps w:val="0"/>
      <w:color w:val="902000"/>
      <w:sz w:val="22"/>
      <w:szCs w:val="18"/>
    </w:rPr>
  </w:style>
  <w:style w:type="character" w:customStyle="1" w:styleId="DecValTok">
    <w:name w:val="DecValTok"/>
    <w:basedOn w:val="VerbatimChar"/>
    <w:rPr>
      <w:rFonts w:ascii="Consolas" w:hAnsi="Consolas"/>
      <w:b/>
      <w:bCs/>
      <w:caps w:val="0"/>
      <w:color w:val="40A070"/>
      <w:sz w:val="22"/>
      <w:szCs w:val="18"/>
    </w:rPr>
  </w:style>
  <w:style w:type="character" w:customStyle="1" w:styleId="BaseNTok">
    <w:name w:val="BaseNTok"/>
    <w:basedOn w:val="VerbatimChar"/>
    <w:rPr>
      <w:rFonts w:ascii="Consolas" w:hAnsi="Consolas"/>
      <w:b/>
      <w:bCs/>
      <w:caps w:val="0"/>
      <w:color w:val="40A070"/>
      <w:sz w:val="22"/>
      <w:szCs w:val="18"/>
    </w:rPr>
  </w:style>
  <w:style w:type="character" w:customStyle="1" w:styleId="FloatTok">
    <w:name w:val="FloatTok"/>
    <w:basedOn w:val="VerbatimChar"/>
    <w:rPr>
      <w:rFonts w:ascii="Consolas" w:hAnsi="Consolas"/>
      <w:b/>
      <w:bCs/>
      <w:caps w:val="0"/>
      <w:color w:val="40A070"/>
      <w:sz w:val="22"/>
      <w:szCs w:val="18"/>
    </w:rPr>
  </w:style>
  <w:style w:type="character" w:customStyle="1" w:styleId="ConstantTok">
    <w:name w:val="ConstantTok"/>
    <w:basedOn w:val="VerbatimChar"/>
    <w:rPr>
      <w:rFonts w:ascii="Consolas" w:hAnsi="Consolas"/>
      <w:b/>
      <w:bCs/>
      <w:caps w:val="0"/>
      <w:color w:val="880000"/>
      <w:sz w:val="22"/>
      <w:szCs w:val="18"/>
    </w:rPr>
  </w:style>
  <w:style w:type="character" w:customStyle="1" w:styleId="CharTok">
    <w:name w:val="CharTok"/>
    <w:basedOn w:val="VerbatimChar"/>
    <w:rPr>
      <w:rFonts w:ascii="Consolas" w:hAnsi="Consolas"/>
      <w:b/>
      <w:bCs/>
      <w:caps w:val="0"/>
      <w:color w:val="4070A0"/>
      <w:sz w:val="22"/>
      <w:szCs w:val="18"/>
    </w:rPr>
  </w:style>
  <w:style w:type="character" w:customStyle="1" w:styleId="SpecialCharTok">
    <w:name w:val="SpecialCharTok"/>
    <w:basedOn w:val="VerbatimChar"/>
    <w:rPr>
      <w:rFonts w:ascii="Consolas" w:hAnsi="Consolas"/>
      <w:b/>
      <w:bCs/>
      <w:caps w:val="0"/>
      <w:color w:val="4070A0"/>
      <w:sz w:val="22"/>
      <w:szCs w:val="18"/>
    </w:rPr>
  </w:style>
  <w:style w:type="character" w:customStyle="1" w:styleId="StringTok">
    <w:name w:val="StringTok"/>
    <w:basedOn w:val="VerbatimChar"/>
    <w:rPr>
      <w:rFonts w:ascii="Consolas" w:hAnsi="Consolas"/>
      <w:b/>
      <w:bCs/>
      <w:caps w:val="0"/>
      <w:color w:val="4070A0"/>
      <w:sz w:val="22"/>
      <w:szCs w:val="18"/>
    </w:rPr>
  </w:style>
  <w:style w:type="character" w:customStyle="1" w:styleId="VerbatimStringTok">
    <w:name w:val="VerbatimStringTok"/>
    <w:basedOn w:val="VerbatimChar"/>
    <w:rPr>
      <w:rFonts w:ascii="Consolas" w:hAnsi="Consolas"/>
      <w:b/>
      <w:bCs/>
      <w:caps w:val="0"/>
      <w:color w:val="4070A0"/>
      <w:sz w:val="22"/>
      <w:szCs w:val="18"/>
    </w:rPr>
  </w:style>
  <w:style w:type="character" w:customStyle="1" w:styleId="SpecialStringTok">
    <w:name w:val="SpecialStringTok"/>
    <w:basedOn w:val="VerbatimChar"/>
    <w:rPr>
      <w:rFonts w:ascii="Consolas" w:hAnsi="Consolas"/>
      <w:b/>
      <w:bCs/>
      <w:caps w:val="0"/>
      <w:color w:val="BB6688"/>
      <w:sz w:val="22"/>
      <w:szCs w:val="18"/>
    </w:rPr>
  </w:style>
  <w:style w:type="character" w:customStyle="1" w:styleId="ImportTok">
    <w:name w:val="ImportTok"/>
    <w:basedOn w:val="VerbatimChar"/>
    <w:rPr>
      <w:rFonts w:ascii="Consolas" w:hAnsi="Consolas"/>
      <w:b/>
      <w:bCs/>
      <w:caps w:val="0"/>
      <w:color w:val="2F5496" w:themeColor="accent1" w:themeShade="BF"/>
      <w:sz w:val="22"/>
      <w:szCs w:val="18"/>
    </w:rPr>
  </w:style>
  <w:style w:type="character" w:customStyle="1" w:styleId="CommentTok">
    <w:name w:val="CommentTok"/>
    <w:basedOn w:val="VerbatimChar"/>
    <w:rPr>
      <w:rFonts w:ascii="Consolas" w:hAnsi="Consolas"/>
      <w:b/>
      <w:bCs/>
      <w:i/>
      <w:caps w:val="0"/>
      <w:color w:val="60A0B0"/>
      <w:sz w:val="22"/>
      <w:szCs w:val="18"/>
    </w:rPr>
  </w:style>
  <w:style w:type="character" w:customStyle="1" w:styleId="DocumentationTok">
    <w:name w:val="DocumentationTok"/>
    <w:basedOn w:val="VerbatimChar"/>
    <w:rPr>
      <w:rFonts w:ascii="Consolas" w:hAnsi="Consolas"/>
      <w:b/>
      <w:bCs/>
      <w:i/>
      <w:caps w:val="0"/>
      <w:color w:val="BA2121"/>
      <w:sz w:val="22"/>
      <w:szCs w:val="18"/>
    </w:rPr>
  </w:style>
  <w:style w:type="character" w:customStyle="1" w:styleId="AnnotationTok">
    <w:name w:val="AnnotationTok"/>
    <w:basedOn w:val="VerbatimChar"/>
    <w:rPr>
      <w:rFonts w:ascii="Consolas" w:hAnsi="Consolas"/>
      <w:b w:val="0"/>
      <w:bCs/>
      <w:i/>
      <w:caps w:val="0"/>
      <w:color w:val="60A0B0"/>
      <w:sz w:val="22"/>
      <w:szCs w:val="18"/>
    </w:rPr>
  </w:style>
  <w:style w:type="character" w:customStyle="1" w:styleId="CommentVarTok">
    <w:name w:val="CommentVarTok"/>
    <w:basedOn w:val="VerbatimChar"/>
    <w:rPr>
      <w:rFonts w:ascii="Consolas" w:hAnsi="Consolas"/>
      <w:b w:val="0"/>
      <w:bCs/>
      <w:i/>
      <w:caps w:val="0"/>
      <w:color w:val="60A0B0"/>
      <w:sz w:val="22"/>
      <w:szCs w:val="18"/>
    </w:rPr>
  </w:style>
  <w:style w:type="character" w:customStyle="1" w:styleId="OtherTok">
    <w:name w:val="OtherTok"/>
    <w:basedOn w:val="VerbatimChar"/>
    <w:rPr>
      <w:rFonts w:ascii="Consolas" w:hAnsi="Consolas"/>
      <w:b/>
      <w:bCs/>
      <w:caps w:val="0"/>
      <w:color w:val="007020"/>
      <w:sz w:val="22"/>
      <w:szCs w:val="18"/>
    </w:rPr>
  </w:style>
  <w:style w:type="character" w:customStyle="1" w:styleId="FunctionTok">
    <w:name w:val="FunctionTok"/>
    <w:basedOn w:val="VerbatimChar"/>
    <w:rPr>
      <w:rFonts w:ascii="Consolas" w:hAnsi="Consolas"/>
      <w:b/>
      <w:bCs/>
      <w:caps w:val="0"/>
      <w:color w:val="06287E"/>
      <w:sz w:val="22"/>
      <w:szCs w:val="18"/>
    </w:rPr>
  </w:style>
  <w:style w:type="character" w:customStyle="1" w:styleId="VariableTok">
    <w:name w:val="VariableTok"/>
    <w:basedOn w:val="VerbatimChar"/>
    <w:rPr>
      <w:rFonts w:ascii="Consolas" w:hAnsi="Consolas"/>
      <w:b/>
      <w:bCs/>
      <w:caps w:val="0"/>
      <w:color w:val="19177C"/>
      <w:sz w:val="22"/>
      <w:szCs w:val="18"/>
    </w:rPr>
  </w:style>
  <w:style w:type="character" w:customStyle="1" w:styleId="ControlFlowTok">
    <w:name w:val="ControlFlowTok"/>
    <w:basedOn w:val="VerbatimChar"/>
    <w:rPr>
      <w:rFonts w:ascii="Consolas" w:hAnsi="Consolas"/>
      <w:b w:val="0"/>
      <w:bCs/>
      <w:caps w:val="0"/>
      <w:color w:val="007020"/>
      <w:sz w:val="22"/>
      <w:szCs w:val="18"/>
    </w:rPr>
  </w:style>
  <w:style w:type="character" w:customStyle="1" w:styleId="OperatorTok">
    <w:name w:val="OperatorTok"/>
    <w:basedOn w:val="VerbatimChar"/>
    <w:rPr>
      <w:rFonts w:ascii="Consolas" w:hAnsi="Consolas"/>
      <w:b/>
      <w:bCs/>
      <w:caps w:val="0"/>
      <w:color w:val="666666"/>
      <w:sz w:val="22"/>
      <w:szCs w:val="18"/>
    </w:rPr>
  </w:style>
  <w:style w:type="character" w:customStyle="1" w:styleId="BuiltInTok">
    <w:name w:val="BuiltInTok"/>
    <w:basedOn w:val="VerbatimChar"/>
    <w:rPr>
      <w:rFonts w:ascii="Consolas" w:hAnsi="Consolas"/>
      <w:b/>
      <w:bCs/>
      <w:caps w:val="0"/>
      <w:color w:val="2F5496" w:themeColor="accent1" w:themeShade="BF"/>
      <w:sz w:val="22"/>
      <w:szCs w:val="18"/>
    </w:rPr>
  </w:style>
  <w:style w:type="character" w:customStyle="1" w:styleId="ExtensionTok">
    <w:name w:val="ExtensionTok"/>
    <w:basedOn w:val="VerbatimChar"/>
    <w:rPr>
      <w:rFonts w:ascii="Consolas" w:hAnsi="Consolas"/>
      <w:b/>
      <w:bCs/>
      <w:caps w:val="0"/>
      <w:color w:val="2F5496" w:themeColor="accent1" w:themeShade="BF"/>
      <w:sz w:val="22"/>
      <w:szCs w:val="18"/>
    </w:rPr>
  </w:style>
  <w:style w:type="character" w:customStyle="1" w:styleId="PreprocessorTok">
    <w:name w:val="PreprocessorTok"/>
    <w:basedOn w:val="VerbatimChar"/>
    <w:rPr>
      <w:rFonts w:ascii="Consolas" w:hAnsi="Consolas"/>
      <w:b/>
      <w:bCs/>
      <w:caps w:val="0"/>
      <w:color w:val="BC7A00"/>
      <w:sz w:val="22"/>
      <w:szCs w:val="18"/>
    </w:rPr>
  </w:style>
  <w:style w:type="character" w:customStyle="1" w:styleId="AttributeTok">
    <w:name w:val="AttributeTok"/>
    <w:basedOn w:val="VerbatimChar"/>
    <w:rPr>
      <w:rFonts w:ascii="Consolas" w:hAnsi="Consolas"/>
      <w:b/>
      <w:bCs/>
      <w:caps w:val="0"/>
      <w:color w:val="7D9029"/>
      <w:sz w:val="22"/>
      <w:szCs w:val="18"/>
    </w:rPr>
  </w:style>
  <w:style w:type="character" w:customStyle="1" w:styleId="RegionMarkerTok">
    <w:name w:val="RegionMarkerTok"/>
    <w:basedOn w:val="VerbatimChar"/>
    <w:rPr>
      <w:rFonts w:ascii="Consolas" w:hAnsi="Consolas"/>
      <w:b/>
      <w:bCs/>
      <w:caps w:val="0"/>
      <w:color w:val="2F5496" w:themeColor="accent1" w:themeShade="BF"/>
      <w:sz w:val="22"/>
      <w:szCs w:val="18"/>
    </w:rPr>
  </w:style>
  <w:style w:type="character" w:customStyle="1" w:styleId="InformationTok">
    <w:name w:val="InformationTok"/>
    <w:basedOn w:val="VerbatimChar"/>
    <w:rPr>
      <w:rFonts w:ascii="Consolas" w:hAnsi="Consolas"/>
      <w:b w:val="0"/>
      <w:bCs/>
      <w:i/>
      <w:caps w:val="0"/>
      <w:color w:val="60A0B0"/>
      <w:sz w:val="22"/>
      <w:szCs w:val="18"/>
    </w:rPr>
  </w:style>
  <w:style w:type="character" w:customStyle="1" w:styleId="WarningTok">
    <w:name w:val="WarningTok"/>
    <w:basedOn w:val="VerbatimChar"/>
    <w:rPr>
      <w:rFonts w:ascii="Consolas" w:hAnsi="Consolas"/>
      <w:b w:val="0"/>
      <w:bCs/>
      <w:i/>
      <w:caps w:val="0"/>
      <w:color w:val="60A0B0"/>
      <w:sz w:val="22"/>
      <w:szCs w:val="18"/>
    </w:rPr>
  </w:style>
  <w:style w:type="character" w:customStyle="1" w:styleId="AlertTok">
    <w:name w:val="AlertTok"/>
    <w:basedOn w:val="VerbatimChar"/>
    <w:rPr>
      <w:rFonts w:ascii="Consolas" w:hAnsi="Consolas"/>
      <w:b w:val="0"/>
      <w:bCs/>
      <w:caps w:val="0"/>
      <w:color w:val="FF0000"/>
      <w:sz w:val="22"/>
      <w:szCs w:val="18"/>
    </w:rPr>
  </w:style>
  <w:style w:type="character" w:customStyle="1" w:styleId="ErrorTok">
    <w:name w:val="ErrorTok"/>
    <w:basedOn w:val="VerbatimChar"/>
    <w:rPr>
      <w:rFonts w:ascii="Consolas" w:hAnsi="Consolas"/>
      <w:b w:val="0"/>
      <w:bCs/>
      <w:caps w:val="0"/>
      <w:color w:val="FF0000"/>
      <w:sz w:val="22"/>
      <w:szCs w:val="18"/>
    </w:rPr>
  </w:style>
  <w:style w:type="character" w:customStyle="1" w:styleId="NormalTok">
    <w:name w:val="NormalTok"/>
    <w:basedOn w:val="VerbatimChar"/>
    <w:rPr>
      <w:rFonts w:ascii="Consolas" w:hAnsi="Consolas"/>
      <w:b/>
      <w:bCs/>
      <w:caps w:val="0"/>
      <w:color w:val="2F5496" w:themeColor="accent1" w:themeShade="BF"/>
      <w:sz w:val="22"/>
      <w:szCs w:val="18"/>
    </w:rPr>
  </w:style>
  <w:style w:type="paragraph" w:styleId="Header">
    <w:name w:val="header"/>
    <w:basedOn w:val="Normal"/>
    <w:link w:val="HeaderChar"/>
    <w:unhideWhenUsed/>
    <w:rsid w:val="000332A3"/>
    <w:pPr>
      <w:tabs>
        <w:tab w:val="center" w:pos="4680"/>
        <w:tab w:val="right" w:pos="9360"/>
      </w:tabs>
      <w:spacing w:after="0"/>
    </w:pPr>
  </w:style>
  <w:style w:type="character" w:customStyle="1" w:styleId="HeaderChar">
    <w:name w:val="Header Char"/>
    <w:basedOn w:val="DefaultParagraphFont"/>
    <w:link w:val="Header"/>
    <w:rsid w:val="000332A3"/>
  </w:style>
  <w:style w:type="paragraph" w:styleId="Footer">
    <w:name w:val="footer"/>
    <w:basedOn w:val="Normal"/>
    <w:link w:val="FooterChar"/>
    <w:unhideWhenUsed/>
    <w:rsid w:val="000332A3"/>
    <w:pPr>
      <w:tabs>
        <w:tab w:val="center" w:pos="4680"/>
        <w:tab w:val="right" w:pos="9360"/>
      </w:tabs>
      <w:spacing w:after="0"/>
    </w:pPr>
  </w:style>
  <w:style w:type="character" w:customStyle="1" w:styleId="FooterChar">
    <w:name w:val="Footer Char"/>
    <w:basedOn w:val="DefaultParagraphFont"/>
    <w:link w:val="Footer"/>
    <w:rsid w:val="000332A3"/>
  </w:style>
  <w:style w:type="character" w:styleId="FollowedHyperlink">
    <w:name w:val="FollowedHyperlink"/>
    <w:basedOn w:val="DefaultParagraphFont"/>
    <w:semiHidden/>
    <w:unhideWhenUsed/>
    <w:rsid w:val="008359C6"/>
    <w:rPr>
      <w:color w:val="954F72" w:themeColor="followedHyperlink"/>
      <w:u w:val="single"/>
    </w:rPr>
  </w:style>
  <w:style w:type="paragraph" w:styleId="TOC1">
    <w:name w:val="toc 1"/>
    <w:basedOn w:val="Normal"/>
    <w:next w:val="Normal"/>
    <w:autoRedefine/>
    <w:uiPriority w:val="39"/>
    <w:unhideWhenUsed/>
    <w:rsid w:val="0040681B"/>
    <w:pPr>
      <w:tabs>
        <w:tab w:val="right" w:leader="dot" w:pos="9350"/>
      </w:tabs>
      <w:spacing w:before="120" w:after="0"/>
    </w:pPr>
    <w:rPr>
      <w:rFonts w:ascii="Aptos" w:hAnsi="Aptos"/>
      <w:b/>
      <w:bCs/>
      <w:noProof/>
    </w:rPr>
  </w:style>
  <w:style w:type="paragraph" w:styleId="TOC2">
    <w:name w:val="toc 2"/>
    <w:basedOn w:val="Normal"/>
    <w:next w:val="Normal"/>
    <w:autoRedefine/>
    <w:uiPriority w:val="39"/>
    <w:unhideWhenUsed/>
    <w:rsid w:val="008359C6"/>
    <w:pPr>
      <w:spacing w:before="120" w:after="0"/>
      <w:ind w:left="240"/>
    </w:pPr>
    <w:rPr>
      <w:b/>
      <w:bCs/>
      <w:sz w:val="22"/>
      <w:szCs w:val="22"/>
    </w:rPr>
  </w:style>
  <w:style w:type="paragraph" w:styleId="TOC3">
    <w:name w:val="toc 3"/>
    <w:basedOn w:val="Normal"/>
    <w:next w:val="Normal"/>
    <w:autoRedefine/>
    <w:uiPriority w:val="39"/>
    <w:unhideWhenUsed/>
    <w:rsid w:val="008359C6"/>
    <w:pPr>
      <w:spacing w:after="0"/>
      <w:ind w:left="480"/>
    </w:pPr>
  </w:style>
  <w:style w:type="paragraph" w:styleId="TOC4">
    <w:name w:val="toc 4"/>
    <w:basedOn w:val="Normal"/>
    <w:next w:val="Normal"/>
    <w:autoRedefine/>
    <w:semiHidden/>
    <w:unhideWhenUsed/>
    <w:rsid w:val="008359C6"/>
    <w:pPr>
      <w:spacing w:after="0"/>
      <w:ind w:left="720"/>
    </w:pPr>
  </w:style>
  <w:style w:type="paragraph" w:styleId="TOC5">
    <w:name w:val="toc 5"/>
    <w:basedOn w:val="Normal"/>
    <w:next w:val="Normal"/>
    <w:autoRedefine/>
    <w:semiHidden/>
    <w:unhideWhenUsed/>
    <w:rsid w:val="008359C6"/>
    <w:pPr>
      <w:spacing w:after="0"/>
      <w:ind w:left="960"/>
    </w:pPr>
  </w:style>
  <w:style w:type="paragraph" w:styleId="TOC6">
    <w:name w:val="toc 6"/>
    <w:basedOn w:val="Normal"/>
    <w:next w:val="Normal"/>
    <w:autoRedefine/>
    <w:semiHidden/>
    <w:unhideWhenUsed/>
    <w:rsid w:val="008359C6"/>
    <w:pPr>
      <w:spacing w:after="0"/>
      <w:ind w:left="1200"/>
    </w:pPr>
  </w:style>
  <w:style w:type="paragraph" w:styleId="TOC7">
    <w:name w:val="toc 7"/>
    <w:basedOn w:val="Normal"/>
    <w:next w:val="Normal"/>
    <w:autoRedefine/>
    <w:semiHidden/>
    <w:unhideWhenUsed/>
    <w:rsid w:val="008359C6"/>
    <w:pPr>
      <w:spacing w:after="0"/>
      <w:ind w:left="1440"/>
    </w:pPr>
  </w:style>
  <w:style w:type="paragraph" w:styleId="TOC8">
    <w:name w:val="toc 8"/>
    <w:basedOn w:val="Normal"/>
    <w:next w:val="Normal"/>
    <w:autoRedefine/>
    <w:semiHidden/>
    <w:unhideWhenUsed/>
    <w:rsid w:val="008359C6"/>
    <w:pPr>
      <w:spacing w:after="0"/>
      <w:ind w:left="1680"/>
    </w:pPr>
  </w:style>
  <w:style w:type="paragraph" w:styleId="TOC9">
    <w:name w:val="toc 9"/>
    <w:basedOn w:val="Normal"/>
    <w:next w:val="Normal"/>
    <w:autoRedefine/>
    <w:semiHidden/>
    <w:unhideWhenUsed/>
    <w:rsid w:val="008359C6"/>
    <w:pPr>
      <w:spacing w:after="0"/>
      <w:ind w:left="1920"/>
    </w:pPr>
  </w:style>
  <w:style w:type="character" w:customStyle="1" w:styleId="Heading1Char">
    <w:name w:val="Heading 1 Char"/>
    <w:basedOn w:val="DefaultParagraphFont"/>
    <w:link w:val="Heading1"/>
    <w:uiPriority w:val="9"/>
    <w:rsid w:val="00E47C88"/>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E47C88"/>
    <w:rPr>
      <w:caps/>
      <w:spacing w:val="15"/>
      <w:shd w:val="clear" w:color="auto" w:fill="D9E2F3" w:themeFill="accent1" w:themeFillTint="33"/>
    </w:rPr>
  </w:style>
  <w:style w:type="character" w:customStyle="1" w:styleId="Heading3Char">
    <w:name w:val="Heading 3 Char"/>
    <w:basedOn w:val="DefaultParagraphFont"/>
    <w:link w:val="Heading3"/>
    <w:uiPriority w:val="9"/>
    <w:rsid w:val="00E47C88"/>
    <w:rPr>
      <w:caps/>
      <w:color w:val="1F3763" w:themeColor="accent1" w:themeShade="7F"/>
      <w:spacing w:val="15"/>
    </w:rPr>
  </w:style>
  <w:style w:type="character" w:customStyle="1" w:styleId="Heading4Char">
    <w:name w:val="Heading 4 Char"/>
    <w:basedOn w:val="DefaultParagraphFont"/>
    <w:link w:val="Heading4"/>
    <w:uiPriority w:val="9"/>
    <w:rsid w:val="00E47C88"/>
    <w:rPr>
      <w:caps/>
      <w:color w:val="2F5496" w:themeColor="accent1" w:themeShade="BF"/>
      <w:spacing w:val="10"/>
    </w:rPr>
  </w:style>
  <w:style w:type="character" w:customStyle="1" w:styleId="Heading5Char">
    <w:name w:val="Heading 5 Char"/>
    <w:basedOn w:val="DefaultParagraphFont"/>
    <w:link w:val="Heading5"/>
    <w:uiPriority w:val="9"/>
    <w:rsid w:val="00E47C88"/>
    <w:rPr>
      <w:caps/>
      <w:color w:val="2F5496" w:themeColor="accent1" w:themeShade="BF"/>
      <w:spacing w:val="10"/>
    </w:rPr>
  </w:style>
  <w:style w:type="character" w:customStyle="1" w:styleId="Heading6Char">
    <w:name w:val="Heading 6 Char"/>
    <w:basedOn w:val="DefaultParagraphFont"/>
    <w:link w:val="Heading6"/>
    <w:uiPriority w:val="9"/>
    <w:rsid w:val="00E47C88"/>
    <w:rPr>
      <w:caps/>
      <w:color w:val="2F5496" w:themeColor="accent1" w:themeShade="BF"/>
      <w:spacing w:val="10"/>
    </w:rPr>
  </w:style>
  <w:style w:type="character" w:customStyle="1" w:styleId="Heading7Char">
    <w:name w:val="Heading 7 Char"/>
    <w:basedOn w:val="DefaultParagraphFont"/>
    <w:link w:val="Heading7"/>
    <w:uiPriority w:val="9"/>
    <w:rsid w:val="00E47C88"/>
    <w:rPr>
      <w:caps/>
      <w:color w:val="2F5496" w:themeColor="accent1" w:themeShade="BF"/>
      <w:spacing w:val="10"/>
    </w:rPr>
  </w:style>
  <w:style w:type="character" w:customStyle="1" w:styleId="Heading8Char">
    <w:name w:val="Heading 8 Char"/>
    <w:basedOn w:val="DefaultParagraphFont"/>
    <w:link w:val="Heading8"/>
    <w:uiPriority w:val="9"/>
    <w:rsid w:val="00E47C88"/>
    <w:rPr>
      <w:caps/>
      <w:spacing w:val="10"/>
      <w:sz w:val="18"/>
      <w:szCs w:val="18"/>
    </w:rPr>
  </w:style>
  <w:style w:type="character" w:customStyle="1" w:styleId="Heading9Char">
    <w:name w:val="Heading 9 Char"/>
    <w:basedOn w:val="DefaultParagraphFont"/>
    <w:link w:val="Heading9"/>
    <w:uiPriority w:val="9"/>
    <w:rsid w:val="00E47C88"/>
    <w:rPr>
      <w:i/>
      <w:caps/>
      <w:spacing w:val="10"/>
      <w:sz w:val="18"/>
      <w:szCs w:val="18"/>
    </w:rPr>
  </w:style>
  <w:style w:type="character" w:customStyle="1" w:styleId="TitleChar">
    <w:name w:val="Title Char"/>
    <w:basedOn w:val="DefaultParagraphFont"/>
    <w:link w:val="Title"/>
    <w:uiPriority w:val="10"/>
    <w:rsid w:val="00E47C88"/>
    <w:rPr>
      <w:caps/>
      <w:color w:val="4472C4" w:themeColor="accent1"/>
      <w:spacing w:val="10"/>
      <w:kern w:val="28"/>
      <w:sz w:val="52"/>
      <w:szCs w:val="52"/>
    </w:rPr>
  </w:style>
  <w:style w:type="character" w:customStyle="1" w:styleId="SubtitleChar">
    <w:name w:val="Subtitle Char"/>
    <w:basedOn w:val="DefaultParagraphFont"/>
    <w:link w:val="Subtitle"/>
    <w:uiPriority w:val="11"/>
    <w:rsid w:val="00E47C88"/>
    <w:rPr>
      <w:caps/>
      <w:color w:val="595959" w:themeColor="text1" w:themeTint="A6"/>
      <w:spacing w:val="10"/>
      <w:sz w:val="24"/>
      <w:szCs w:val="24"/>
    </w:rPr>
  </w:style>
  <w:style w:type="character" w:styleId="Strong">
    <w:name w:val="Strong"/>
    <w:uiPriority w:val="22"/>
    <w:qFormat/>
    <w:rsid w:val="00E47C88"/>
    <w:rPr>
      <w:b/>
      <w:bCs/>
    </w:rPr>
  </w:style>
  <w:style w:type="character" w:styleId="Emphasis">
    <w:name w:val="Emphasis"/>
    <w:uiPriority w:val="20"/>
    <w:qFormat/>
    <w:rsid w:val="00E47C88"/>
    <w:rPr>
      <w:caps/>
      <w:color w:val="1F3763" w:themeColor="accent1" w:themeShade="7F"/>
      <w:spacing w:val="5"/>
    </w:rPr>
  </w:style>
  <w:style w:type="paragraph" w:styleId="NoSpacing">
    <w:name w:val="No Spacing"/>
    <w:basedOn w:val="Normal"/>
    <w:link w:val="NoSpacingChar"/>
    <w:uiPriority w:val="1"/>
    <w:qFormat/>
    <w:rsid w:val="00E47C88"/>
    <w:pPr>
      <w:spacing w:before="0" w:after="0" w:line="240" w:lineRule="auto"/>
    </w:pPr>
  </w:style>
  <w:style w:type="character" w:customStyle="1" w:styleId="NoSpacingChar">
    <w:name w:val="No Spacing Char"/>
    <w:basedOn w:val="DefaultParagraphFont"/>
    <w:link w:val="NoSpacing"/>
    <w:uiPriority w:val="1"/>
    <w:rsid w:val="00E47C88"/>
    <w:rPr>
      <w:sz w:val="20"/>
      <w:szCs w:val="20"/>
    </w:rPr>
  </w:style>
  <w:style w:type="paragraph" w:styleId="ListParagraph">
    <w:name w:val="List Paragraph"/>
    <w:basedOn w:val="Normal"/>
    <w:uiPriority w:val="34"/>
    <w:qFormat/>
    <w:rsid w:val="00E47C88"/>
    <w:pPr>
      <w:ind w:left="720"/>
      <w:contextualSpacing/>
    </w:pPr>
  </w:style>
  <w:style w:type="paragraph" w:styleId="Quote">
    <w:name w:val="Quote"/>
    <w:basedOn w:val="Normal"/>
    <w:next w:val="Normal"/>
    <w:link w:val="QuoteChar"/>
    <w:uiPriority w:val="29"/>
    <w:qFormat/>
    <w:rsid w:val="00E47C88"/>
    <w:rPr>
      <w:i/>
      <w:iCs/>
    </w:rPr>
  </w:style>
  <w:style w:type="character" w:customStyle="1" w:styleId="QuoteChar">
    <w:name w:val="Quote Char"/>
    <w:basedOn w:val="DefaultParagraphFont"/>
    <w:link w:val="Quote"/>
    <w:uiPriority w:val="29"/>
    <w:rsid w:val="00E47C88"/>
    <w:rPr>
      <w:i/>
      <w:iCs/>
      <w:sz w:val="20"/>
      <w:szCs w:val="20"/>
    </w:rPr>
  </w:style>
  <w:style w:type="paragraph" w:styleId="IntenseQuote">
    <w:name w:val="Intense Quote"/>
    <w:basedOn w:val="Normal"/>
    <w:next w:val="Normal"/>
    <w:link w:val="IntenseQuoteChar"/>
    <w:uiPriority w:val="30"/>
    <w:qFormat/>
    <w:rsid w:val="00E47C88"/>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E47C88"/>
    <w:rPr>
      <w:i/>
      <w:iCs/>
      <w:color w:val="4472C4" w:themeColor="accent1"/>
      <w:sz w:val="20"/>
      <w:szCs w:val="20"/>
    </w:rPr>
  </w:style>
  <w:style w:type="character" w:styleId="SubtleEmphasis">
    <w:name w:val="Subtle Emphasis"/>
    <w:uiPriority w:val="19"/>
    <w:qFormat/>
    <w:rsid w:val="00E47C88"/>
    <w:rPr>
      <w:i/>
      <w:iCs/>
      <w:color w:val="1F3763" w:themeColor="accent1" w:themeShade="7F"/>
    </w:rPr>
  </w:style>
  <w:style w:type="character" w:styleId="IntenseEmphasis">
    <w:name w:val="Intense Emphasis"/>
    <w:uiPriority w:val="21"/>
    <w:qFormat/>
    <w:rsid w:val="00E47C88"/>
    <w:rPr>
      <w:b/>
      <w:bCs/>
      <w:caps/>
      <w:color w:val="1F3763" w:themeColor="accent1" w:themeShade="7F"/>
      <w:spacing w:val="10"/>
    </w:rPr>
  </w:style>
  <w:style w:type="character" w:styleId="SubtleReference">
    <w:name w:val="Subtle Reference"/>
    <w:uiPriority w:val="31"/>
    <w:qFormat/>
    <w:rsid w:val="00E47C88"/>
    <w:rPr>
      <w:b/>
      <w:bCs/>
      <w:color w:val="4472C4" w:themeColor="accent1"/>
    </w:rPr>
  </w:style>
  <w:style w:type="character" w:styleId="IntenseReference">
    <w:name w:val="Intense Reference"/>
    <w:uiPriority w:val="32"/>
    <w:qFormat/>
    <w:rsid w:val="00E47C88"/>
    <w:rPr>
      <w:b/>
      <w:bCs/>
      <w:i/>
      <w:iCs/>
      <w:caps/>
      <w:color w:val="4472C4" w:themeColor="accent1"/>
    </w:rPr>
  </w:style>
  <w:style w:type="character" w:styleId="BookTitle">
    <w:name w:val="Book Title"/>
    <w:uiPriority w:val="33"/>
    <w:qFormat/>
    <w:rsid w:val="00E47C88"/>
    <w:rPr>
      <w:b/>
      <w:bCs/>
      <w:i/>
      <w:iCs/>
      <w:spacing w:val="9"/>
    </w:rPr>
  </w:style>
  <w:style w:type="paragraph" w:customStyle="1" w:styleId="PersonalName">
    <w:name w:val="Personal Name"/>
    <w:basedOn w:val="Title"/>
    <w:rsid w:val="00A06830"/>
    <w:rPr>
      <w:b/>
      <w:caps w:val="0"/>
      <w:color w:val="000000"/>
      <w:sz w:val="28"/>
      <w:szCs w:val="28"/>
    </w:rPr>
  </w:style>
  <w:style w:type="character" w:customStyle="1" w:styleId="UnresolvedMention1">
    <w:name w:val="Unresolved Mention1"/>
    <w:basedOn w:val="DefaultParagraphFont"/>
    <w:uiPriority w:val="99"/>
    <w:semiHidden/>
    <w:unhideWhenUsed/>
    <w:rsid w:val="00BA18DF"/>
    <w:rPr>
      <w:color w:val="605E5C"/>
      <w:shd w:val="clear" w:color="auto" w:fill="E1DFDD"/>
    </w:rPr>
  </w:style>
  <w:style w:type="paragraph" w:styleId="BalloonText">
    <w:name w:val="Balloon Text"/>
    <w:basedOn w:val="Normal"/>
    <w:link w:val="BalloonTextChar"/>
    <w:semiHidden/>
    <w:unhideWhenUsed/>
    <w:rsid w:val="00833DEA"/>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833DEA"/>
    <w:rPr>
      <w:rFonts w:ascii="Times New Roman" w:hAnsi="Times New Roman" w:cs="Times New Roman"/>
      <w:sz w:val="18"/>
      <w:szCs w:val="18"/>
    </w:rPr>
  </w:style>
  <w:style w:type="character" w:customStyle="1" w:styleId="UnresolvedMention2">
    <w:name w:val="Unresolved Mention2"/>
    <w:basedOn w:val="DefaultParagraphFont"/>
    <w:uiPriority w:val="99"/>
    <w:semiHidden/>
    <w:unhideWhenUsed/>
    <w:rsid w:val="00B50626"/>
    <w:rPr>
      <w:color w:val="605E5C"/>
      <w:shd w:val="clear" w:color="auto" w:fill="E1DFDD"/>
    </w:rPr>
  </w:style>
  <w:style w:type="character" w:styleId="PlaceholderText">
    <w:name w:val="Placeholder Text"/>
    <w:basedOn w:val="DefaultParagraphFont"/>
    <w:semiHidden/>
    <w:rsid w:val="00127806"/>
    <w:rPr>
      <w:color w:val="808080"/>
    </w:rPr>
  </w:style>
  <w:style w:type="character" w:customStyle="1" w:styleId="BodyTextChar">
    <w:name w:val="Body Text Char"/>
    <w:basedOn w:val="DefaultParagraphFont"/>
    <w:link w:val="BodyText"/>
    <w:rsid w:val="008C196E"/>
    <w:rPr>
      <w:sz w:val="20"/>
      <w:szCs w:val="20"/>
      <w:lang w:val="en-GB"/>
    </w:rPr>
  </w:style>
  <w:style w:type="character" w:styleId="CommentReference">
    <w:name w:val="annotation reference"/>
    <w:basedOn w:val="DefaultParagraphFont"/>
    <w:semiHidden/>
    <w:unhideWhenUsed/>
    <w:rsid w:val="00DB4470"/>
    <w:rPr>
      <w:sz w:val="16"/>
      <w:szCs w:val="16"/>
    </w:rPr>
  </w:style>
  <w:style w:type="paragraph" w:styleId="CommentText">
    <w:name w:val="annotation text"/>
    <w:basedOn w:val="Normal"/>
    <w:link w:val="CommentTextChar"/>
    <w:semiHidden/>
    <w:unhideWhenUsed/>
    <w:rsid w:val="00DB4470"/>
    <w:pPr>
      <w:spacing w:line="240" w:lineRule="auto"/>
    </w:pPr>
  </w:style>
  <w:style w:type="character" w:customStyle="1" w:styleId="CommentTextChar">
    <w:name w:val="Comment Text Char"/>
    <w:basedOn w:val="DefaultParagraphFont"/>
    <w:link w:val="CommentText"/>
    <w:semiHidden/>
    <w:rsid w:val="00DB4470"/>
    <w:rPr>
      <w:sz w:val="20"/>
      <w:szCs w:val="20"/>
      <w:lang w:val="en-GB"/>
    </w:rPr>
  </w:style>
  <w:style w:type="paragraph" w:styleId="CommentSubject">
    <w:name w:val="annotation subject"/>
    <w:basedOn w:val="CommentText"/>
    <w:next w:val="CommentText"/>
    <w:link w:val="CommentSubjectChar"/>
    <w:semiHidden/>
    <w:unhideWhenUsed/>
    <w:rsid w:val="00DB4470"/>
    <w:rPr>
      <w:b/>
      <w:bCs/>
    </w:rPr>
  </w:style>
  <w:style w:type="character" w:customStyle="1" w:styleId="CommentSubjectChar">
    <w:name w:val="Comment Subject Char"/>
    <w:basedOn w:val="CommentTextChar"/>
    <w:link w:val="CommentSubject"/>
    <w:semiHidden/>
    <w:rsid w:val="00DB4470"/>
    <w:rPr>
      <w:b/>
      <w:bCs/>
      <w:sz w:val="20"/>
      <w:szCs w:val="20"/>
      <w:lang w:val="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3C535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BulletList">
    <w:name w:val="Basic Bullet List"/>
    <w:basedOn w:val="BodyText"/>
    <w:qFormat/>
    <w:rsid w:val="00F5088A"/>
    <w:pPr>
      <w:numPr>
        <w:numId w:val="33"/>
      </w:numPr>
      <w:jc w:val="both"/>
    </w:pPr>
    <w:rPr>
      <w:rFonts w:ascii="Aptos" w:hAnsi="Aptos"/>
      <w:color w:val="000000" w:themeColor="text1"/>
      <w:sz w:val="22"/>
    </w:rPr>
  </w:style>
  <w:style w:type="paragraph" w:customStyle="1" w:styleId="BasicNumberedList">
    <w:name w:val="Basic Numbered List"/>
    <w:basedOn w:val="BodyText"/>
    <w:qFormat/>
    <w:rsid w:val="00695D27"/>
    <w:pPr>
      <w:numPr>
        <w:numId w:val="34"/>
      </w:numPr>
      <w:spacing w:before="120" w:after="0"/>
      <w:jc w:val="both"/>
    </w:pPr>
    <w:rPr>
      <w:rFonts w:ascii="Aptos" w:hAnsi="Aptos"/>
      <w:sz w:val="22"/>
    </w:rPr>
  </w:style>
  <w:style w:type="character" w:customStyle="1" w:styleId="normaltextrun">
    <w:name w:val="normaltextrun"/>
    <w:basedOn w:val="DefaultParagraphFont"/>
    <w:rsid w:val="00310AE4"/>
  </w:style>
  <w:style w:type="character" w:styleId="UnresolvedMention">
    <w:name w:val="Unresolved Mention"/>
    <w:basedOn w:val="DefaultParagraphFont"/>
    <w:uiPriority w:val="99"/>
    <w:semiHidden/>
    <w:unhideWhenUsed/>
    <w:rsid w:val="004E0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255451">
      <w:bodyDiv w:val="1"/>
      <w:marLeft w:val="0"/>
      <w:marRight w:val="0"/>
      <w:marTop w:val="0"/>
      <w:marBottom w:val="0"/>
      <w:divBdr>
        <w:top w:val="none" w:sz="0" w:space="0" w:color="auto"/>
        <w:left w:val="none" w:sz="0" w:space="0" w:color="auto"/>
        <w:bottom w:val="none" w:sz="0" w:space="0" w:color="auto"/>
        <w:right w:val="none" w:sz="0" w:space="0" w:color="auto"/>
      </w:divBdr>
    </w:div>
    <w:div w:id="1991712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hyperlink" Target="https://doi.org/10.1016/S1473-3099(13)70327-X" TargetMode="External"/><Relationship Id="rId39" Type="http://schemas.openxmlformats.org/officeDocument/2006/relationships/footer" Target="footer2.xml"/><Relationship Id="rId21" Type="http://schemas.openxmlformats.org/officeDocument/2006/relationships/hyperlink" Target="https://odap.ac.uk/" TargetMode="External"/><Relationship Id="rId34" Type="http://schemas.openxmlformats.org/officeDocument/2006/relationships/hyperlink" Target="https://doi.org/10.1016/S2213-2600(14)70290-5"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hse.gov.uk" TargetMode="External"/><Relationship Id="rId29" Type="http://schemas.openxmlformats.org/officeDocument/2006/relationships/hyperlink" Target="http://www.ncbi.nlm.nih.gov/pubmed/889875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i.org/10.1016/j.jviromet.2004.03.015" TargetMode="External"/><Relationship Id="rId32" Type="http://schemas.openxmlformats.org/officeDocument/2006/relationships/hyperlink" Target="https://doi.org/10.1038/s41586-020-03065-y"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doi.org/10.1126/science.1255074" TargetMode="External"/><Relationship Id="rId28" Type="http://schemas.openxmlformats.org/officeDocument/2006/relationships/hyperlink" Target="https://doi.org/10.1136/thoraxjnl-2011-200598"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genomicc.org/investigators/emerging_syndromes" TargetMode="External"/><Relationship Id="rId31" Type="http://schemas.openxmlformats.org/officeDocument/2006/relationships/hyperlink" Target="https://doi.org/10.1016/S0140-6736(09)62126-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doi.org/10.1056/NEJMra1208623" TargetMode="External"/><Relationship Id="rId27" Type="http://schemas.openxmlformats.org/officeDocument/2006/relationships/hyperlink" Target="https://doi.org/10.1084/jem.20051970" TargetMode="External"/><Relationship Id="rId30" Type="http://schemas.openxmlformats.org/officeDocument/2006/relationships/hyperlink" Target="https://doi.org/10.1164/rccm.201511-2234OC" TargetMode="External"/><Relationship Id="rId35" Type="http://schemas.openxmlformats.org/officeDocument/2006/relationships/hyperlink" Target="http://content.nejm.org/cgi/content/abstract/318/12/727"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doi.org/10.1146/annurev-genom-091212-153448" TargetMode="External"/><Relationship Id="rId33" Type="http://schemas.openxmlformats.org/officeDocument/2006/relationships/hyperlink" Target="https://doi.org/10.1038/s41586-023-06383-z"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eorgia">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9bf54b9-4e2c-4097-99cd-edcb9b377872">
      <UserInfo>
        <DisplayName>rashan@nicslk.com</DisplayName>
        <AccountId>47</AccountId>
        <AccountType/>
      </UserInfo>
      <UserInfo>
        <DisplayName>BAILLIE Kenneth</DisplayName>
        <AccountId>13</AccountId>
        <AccountType/>
      </UserInfo>
      <UserInfo>
        <DisplayName>GALLAGHER Bernadette</DisplayName>
        <AccountId>21</AccountId>
        <AccountType/>
      </UserInfo>
      <UserInfo>
        <DisplayName>GENOMICC International</DisplayName>
        <AccountId>36</AccountId>
        <AccountType/>
      </UserInfo>
      <UserInfo>
        <DisplayName>GRIFFITHS Fiona</DisplayName>
        <AccountId>16</AccountId>
        <AccountType/>
      </UserInfo>
    </SharedWithUsers>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7A258-4F2D-4CA7-9BB8-320E8CF91C81}">
  <ds:schemaRefs>
    <ds:schemaRef ds:uri="http://schemas.microsoft.com/sharepoint/v3/contenttype/forms"/>
  </ds:schemaRefs>
</ds:datastoreItem>
</file>

<file path=customXml/itemProps2.xml><?xml version="1.0" encoding="utf-8"?>
<ds:datastoreItem xmlns:ds="http://schemas.openxmlformats.org/officeDocument/2006/customXml" ds:itemID="{CE9D3373-4DF9-4B57-819E-0D3FC433F155}">
  <ds:schemaRefs>
    <ds:schemaRef ds:uri="http://schemas.microsoft.com/office/2006/metadata/properties"/>
    <ds:schemaRef ds:uri="http://schemas.microsoft.com/office/infopath/2007/PartnerControls"/>
    <ds:schemaRef ds:uri="f9bf54b9-4e2c-4097-99cd-edcb9b377872"/>
    <ds:schemaRef ds:uri="545e2040-118e-4042-a44d-365d86320a96"/>
  </ds:schemaRefs>
</ds:datastoreItem>
</file>

<file path=customXml/itemProps3.xml><?xml version="1.0" encoding="utf-8"?>
<ds:datastoreItem xmlns:ds="http://schemas.openxmlformats.org/officeDocument/2006/customXml" ds:itemID="{50D9F9E1-6CF5-49E2-8D6D-3884C4CB6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F2A267-C7A7-4D30-A9E7-A89D2DD36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9534</Words>
  <Characters>54350</Characters>
  <Application>Microsoft Office Word</Application>
  <DocSecurity>0</DocSecurity>
  <Lines>452</Lines>
  <Paragraphs>127</Paragraphs>
  <ScaleCrop>false</ScaleCrop>
  <HeadingPairs>
    <vt:vector size="4" baseType="variant">
      <vt:variant>
        <vt:lpstr>Title</vt:lpstr>
      </vt:variant>
      <vt:variant>
        <vt:i4>1</vt:i4>
      </vt:variant>
      <vt:variant>
        <vt:lpstr>Headings</vt:lpstr>
      </vt:variant>
      <vt:variant>
        <vt:i4>64</vt:i4>
      </vt:variant>
    </vt:vector>
  </HeadingPairs>
  <TitlesOfParts>
    <vt:vector size="65" baseType="lpstr">
      <vt:lpstr/>
      <vt:lpstr>Protocol authors and study staff</vt:lpstr>
      <vt:lpstr>Aims</vt:lpstr>
      <vt:lpstr>Objectives</vt:lpstr>
      <vt:lpstr>    RECRUITMENT FROM CRITICAL CARE</vt:lpstr>
      <vt:lpstr>    OTHER RECRUITMENT</vt:lpstr>
      <vt:lpstr>    DATA MANAGEMENT OBJECTIVES</vt:lpstr>
      <vt:lpstr>Background</vt:lpstr>
      <vt:lpstr>Study design and implementation</vt:lpstr>
      <vt:lpstr>    CLINICAL CONDITIONS (Phenotypes) of interest</vt:lpstr>
      <vt:lpstr>    Prospective recruitment</vt:lpstr>
      <vt:lpstr>    LABORATORY SAMPLING</vt:lpstr>
      <vt:lpstr>    Recruitment of survivors </vt:lpstr>
      <vt:lpstr>    Recruitment OF COMPARISON (CONTROL) GROUP</vt:lpstr>
      <vt:lpstr>    OBTAINING SAMPLES FROM PARTICIPANTS IN THE COMMUNITY</vt:lpstr>
      <vt:lpstr>    STUDY ELIGIBILITY</vt:lpstr>
      <vt:lpstr>        Inclusion criteria</vt:lpstr>
      <vt:lpstr>        Emerging Infections AND EXPOSURES</vt:lpstr>
      <vt:lpstr>        Exclusion criteria</vt:lpstr>
      <vt:lpstr>        NUMBER OF PARTICIPANTS</vt:lpstr>
      <vt:lpstr>        Modification of sampling and data collection during the study</vt:lpstr>
      <vt:lpstr>        Standard of care for PROSPECTIVELY RECRUITED patients</vt:lpstr>
      <vt:lpstr>    Sampling and Data Collection procedures</vt:lpstr>
      <vt:lpstr>        Sample and Data Collection Schedules</vt:lpstr>
      <vt:lpstr>        Sample volumes</vt:lpstr>
      <vt:lpstr>        SAMPLING PROCEDURES FOR POPULATION MATCHED CONTROLS</vt:lpstr>
      <vt:lpstr>        Sample handling</vt:lpstr>
      <vt:lpstr>        Potentially hazardous samples</vt:lpstr>
      <vt:lpstr>        Follow up</vt:lpstr>
      <vt:lpstr>        Outcome measures</vt:lpstr>
      <vt:lpstr>    Enrolment Procedures</vt:lpstr>
      <vt:lpstr>        Enrolment procedures for PROSPECTIVELY RECRUITED patients</vt:lpstr>
      <vt:lpstr>        procedures for CONSENTING PATIENTS WITH REGAINED CAPACITY</vt:lpstr>
      <vt:lpstr>        Attempts to re-consent following discharge</vt:lpstr>
      <vt:lpstr>        CAPACITY ASSESSMENTS</vt:lpstr>
      <vt:lpstr>        Procedures for initial approach to consent and sample eligible participants</vt:lpstr>
      <vt:lpstr>        ENrolment procedures for patients after death</vt:lpstr>
      <vt:lpstr>        Enrolment procedures for RETROSPECTIVELY RECRUITED patients</vt:lpstr>
      <vt:lpstr>        Enrolment procedures for volunteers from the community</vt:lpstr>
      <vt:lpstr>    Withdrawal from the study</vt:lpstr>
      <vt:lpstr>    Statistical analysis</vt:lpstr>
      <vt:lpstr>Study management</vt:lpstr>
      <vt:lpstr>    Data collection</vt:lpstr>
      <vt:lpstr>    Data Management</vt:lpstr>
      <vt:lpstr>    Medical management and safety reporting</vt:lpstr>
      <vt:lpstr>    Data and materials access committee</vt:lpstr>
      <vt:lpstr>    Protected data and materials</vt:lpstr>
      <vt:lpstr>    Materials access</vt:lpstr>
      <vt:lpstr>    Data access</vt:lpstr>
      <vt:lpstr>    Future use of samples</vt:lpstr>
      <vt:lpstr>Ethical considerations</vt:lpstr>
      <vt:lpstr>    Informed consent</vt:lpstr>
      <vt:lpstr>        Patients unable to consent for themselves</vt:lpstr>
      <vt:lpstr>        Immediate consent / immediate declaration</vt:lpstr>
      <vt:lpstr>        Deferred consent</vt:lpstr>
      <vt:lpstr>        Telephone consent / immediate declaration</vt:lpstr>
      <vt:lpstr>    Risks to participants</vt:lpstr>
      <vt:lpstr>        Inconvenience</vt:lpstr>
      <vt:lpstr>        Phlebotomy</vt:lpstr>
      <vt:lpstr>        CLINICALLY-ACTIONABLE findings in genetic testing</vt:lpstr>
      <vt:lpstr>        Benefits to participants</vt:lpstr>
      <vt:lpstr>    Participation in other research studies (co-enrolment)</vt:lpstr>
      <vt:lpstr>    Confidentiality</vt:lpstr>
      <vt:lpstr>    Scientific and peer review</vt:lpstr>
      <vt:lpstr>    References</vt:lpstr>
    </vt:vector>
  </TitlesOfParts>
  <Company/>
  <LinksUpToDate>false</LinksUpToDate>
  <CharactersWithSpaces>63757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Primmy Chikowore</cp:lastModifiedBy>
  <cp:revision>7</cp:revision>
  <dcterms:created xsi:type="dcterms:W3CDTF">2025-01-24T15:26:00Z</dcterms:created>
  <dcterms:modified xsi:type="dcterms:W3CDTF">2025-01-24T15:33:00Z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EqnLabels">
    <vt:lpwstr>False</vt:lpwstr>
  </property>
  <property fmtid="{D5CDD505-2E9C-101B-9397-08002B2CF9AE}" pid="3" name="autoSectionLabels">
    <vt:lpwstr>False</vt:lpwstr>
  </property>
  <property fmtid="{D5CDD505-2E9C-101B-9397-08002B2CF9AE}" pid="4" name="bibliography">
    <vt:lpwstr/>
  </property>
  <property fmtid="{D5CDD505-2E9C-101B-9397-08002B2CF9AE}" pid="5" name="ccsDelim">
    <vt:lpwstr>, </vt:lpwstr>
  </property>
  <property fmtid="{D5CDD505-2E9C-101B-9397-08002B2CF9AE}" pid="6" name="ccsLabelSep">
    <vt:lpwstr> — </vt:lpwstr>
  </property>
  <property fmtid="{D5CDD505-2E9C-101B-9397-08002B2CF9AE}" pid="7" name="ccsTemplate">
    <vt:lpwstr>iccsLabelSept</vt:lpwstr>
  </property>
  <property fmtid="{D5CDD505-2E9C-101B-9397-08002B2CF9AE}" pid="8" name="chapDelim">
    <vt:lpwstr>.</vt:lpwstr>
  </property>
  <property fmtid="{D5CDD505-2E9C-101B-9397-08002B2CF9AE}" pid="9" name="chapters">
    <vt:lpwstr>False</vt:lpwstr>
  </property>
  <property fmtid="{D5CDD505-2E9C-101B-9397-08002B2CF9AE}" pid="10" name="chaptersDepth">
    <vt:lpwstr>1</vt:lpwstr>
  </property>
  <property fmtid="{D5CDD505-2E9C-101B-9397-08002B2CF9AE}" pid="11" name="codeBlockCaptions">
    <vt:lpwstr>False</vt:lpwstr>
  </property>
  <property fmtid="{D5CDD505-2E9C-101B-9397-08002B2CF9AE}" pid="12" name="cref">
    <vt:lpwstr>False</vt:lpwstr>
  </property>
  <property fmtid="{D5CDD505-2E9C-101B-9397-08002B2CF9AE}" pid="13" name="crossrefYaml">
    <vt:lpwstr>pandoc-crossref.yaml</vt:lpwstr>
  </property>
  <property fmtid="{D5CDD505-2E9C-101B-9397-08002B2CF9AE}" pid="14" name="date">
    <vt:lpwstr>September 25th, 2019</vt:lpwstr>
  </property>
  <property fmtid="{D5CDD505-2E9C-101B-9397-08002B2CF9AE}" pid="15" name="eqnLabels">
    <vt:lpwstr>arabic</vt:lpwstr>
  </property>
  <property fmtid="{D5CDD505-2E9C-101B-9397-08002B2CF9AE}" pid="16" name="eqnPrefix">
    <vt:lpwstr/>
  </property>
  <property fmtid="{D5CDD505-2E9C-101B-9397-08002B2CF9AE}" pid="17" name="eqnPrefixTemplate">
    <vt:lpwstr>p i</vt:lpwstr>
  </property>
  <property fmtid="{D5CDD505-2E9C-101B-9397-08002B2CF9AE}" pid="18" name="figLabels">
    <vt:lpwstr>arabic</vt:lpwstr>
  </property>
  <property fmtid="{D5CDD505-2E9C-101B-9397-08002B2CF9AE}" pid="19" name="figPrefix">
    <vt:lpwstr/>
  </property>
  <property fmtid="{D5CDD505-2E9C-101B-9397-08002B2CF9AE}" pid="20" name="figPrefixTemplate">
    <vt:lpwstr>p i</vt:lpwstr>
  </property>
  <property fmtid="{D5CDD505-2E9C-101B-9397-08002B2CF9AE}" pid="21" name="figureTemplate">
    <vt:lpwstr>figureTitle ititleDelim t</vt:lpwstr>
  </property>
  <property fmtid="{D5CDD505-2E9C-101B-9397-08002B2CF9AE}" pid="22" name="figureTitle">
    <vt:lpwstr>Figure</vt:lpwstr>
  </property>
  <property fmtid="{D5CDD505-2E9C-101B-9397-08002B2CF9AE}" pid="23" name="lastDelim">
    <vt:lpwstr>, </vt:lpwstr>
  </property>
  <property fmtid="{D5CDD505-2E9C-101B-9397-08002B2CF9AE}" pid="24" name="linkReferences">
    <vt:lpwstr>False</vt:lpwstr>
  </property>
  <property fmtid="{D5CDD505-2E9C-101B-9397-08002B2CF9AE}" pid="25" name="listingTemplate">
    <vt:lpwstr>listingTitle ititleDelim t</vt:lpwstr>
  </property>
  <property fmtid="{D5CDD505-2E9C-101B-9397-08002B2CF9AE}" pid="26" name="listingTitle">
    <vt:lpwstr>Listing</vt:lpwstr>
  </property>
  <property fmtid="{D5CDD505-2E9C-101B-9397-08002B2CF9AE}" pid="27" name="listings">
    <vt:lpwstr>False</vt:lpwstr>
  </property>
  <property fmtid="{D5CDD505-2E9C-101B-9397-08002B2CF9AE}" pid="28" name="lofTitle">
    <vt:lpwstr>List of Figures</vt:lpwstr>
  </property>
  <property fmtid="{D5CDD505-2E9C-101B-9397-08002B2CF9AE}" pid="29" name="lolTitle">
    <vt:lpwstr>List of Listings</vt:lpwstr>
  </property>
  <property fmtid="{D5CDD505-2E9C-101B-9397-08002B2CF9AE}" pid="30" name="lotTitle">
    <vt:lpwstr>List of Tables</vt:lpwstr>
  </property>
  <property fmtid="{D5CDD505-2E9C-101B-9397-08002B2CF9AE}" pid="31" name="lstLabels">
    <vt:lpwstr>arabic</vt:lpwstr>
  </property>
  <property fmtid="{D5CDD505-2E9C-101B-9397-08002B2CF9AE}" pid="32" name="lstPrefix">
    <vt:lpwstr/>
  </property>
  <property fmtid="{D5CDD505-2E9C-101B-9397-08002B2CF9AE}" pid="33" name="lstPrefixTemplate">
    <vt:lpwstr>p i</vt:lpwstr>
  </property>
  <property fmtid="{D5CDD505-2E9C-101B-9397-08002B2CF9AE}" pid="34" name="nameInLink">
    <vt:lpwstr>False</vt:lpwstr>
  </property>
  <property fmtid="{D5CDD505-2E9C-101B-9397-08002B2CF9AE}" pid="35" name="numberSections">
    <vt:lpwstr>False</vt:lpwstr>
  </property>
  <property fmtid="{D5CDD505-2E9C-101B-9397-08002B2CF9AE}" pid="36" name="pairDelim">
    <vt:lpwstr>, </vt:lpwstr>
  </property>
  <property fmtid="{D5CDD505-2E9C-101B-9397-08002B2CF9AE}" pid="37" name="rangeDelim">
    <vt:lpwstr>-</vt:lpwstr>
  </property>
  <property fmtid="{D5CDD505-2E9C-101B-9397-08002B2CF9AE}" pid="38" name="refDelim">
    <vt:lpwstr>, </vt:lpwstr>
  </property>
  <property fmtid="{D5CDD505-2E9C-101B-9397-08002B2CF9AE}" pid="39" name="refIndexTemplate">
    <vt:lpwstr>isuf</vt:lpwstr>
  </property>
  <property fmtid="{D5CDD505-2E9C-101B-9397-08002B2CF9AE}" pid="40" name="secHeaderDelim">
    <vt:lpwstr> </vt:lpwstr>
  </property>
  <property fmtid="{D5CDD505-2E9C-101B-9397-08002B2CF9AE}" pid="41" name="secHeaderTemplate">
    <vt:lpwstr>isecHeaderDelimt</vt:lpwstr>
  </property>
  <property fmtid="{D5CDD505-2E9C-101B-9397-08002B2CF9AE}" pid="42" name="secLabels">
    <vt:lpwstr>arabic</vt:lpwstr>
  </property>
  <property fmtid="{D5CDD505-2E9C-101B-9397-08002B2CF9AE}" pid="43" name="secPrefix">
    <vt:lpwstr/>
  </property>
  <property fmtid="{D5CDD505-2E9C-101B-9397-08002B2CF9AE}" pid="44" name="secPrefixTemplate">
    <vt:lpwstr>p i</vt:lpwstr>
  </property>
  <property fmtid="{D5CDD505-2E9C-101B-9397-08002B2CF9AE}" pid="45" name="sectionsDepth">
    <vt:lpwstr>0</vt:lpwstr>
  </property>
  <property fmtid="{D5CDD505-2E9C-101B-9397-08002B2CF9AE}" pid="46" name="subfigGrid">
    <vt:lpwstr>False</vt:lpwstr>
  </property>
  <property fmtid="{D5CDD505-2E9C-101B-9397-08002B2CF9AE}" pid="47" name="subfigLabels">
    <vt:lpwstr>alpha a</vt:lpwstr>
  </property>
  <property fmtid="{D5CDD505-2E9C-101B-9397-08002B2CF9AE}" pid="48" name="subfigureChildTemplate">
    <vt:lpwstr>i</vt:lpwstr>
  </property>
  <property fmtid="{D5CDD505-2E9C-101B-9397-08002B2CF9AE}" pid="49" name="subfigureRefIndexTemplate">
    <vt:lpwstr>isuf (s)</vt:lpwstr>
  </property>
  <property fmtid="{D5CDD505-2E9C-101B-9397-08002B2CF9AE}" pid="50" name="subfigureTemplate">
    <vt:lpwstr>figureTitle ititleDelim t. ccs</vt:lpwstr>
  </property>
  <property fmtid="{D5CDD505-2E9C-101B-9397-08002B2CF9AE}" pid="51" name="tableEqns">
    <vt:lpwstr>False</vt:lpwstr>
  </property>
  <property fmtid="{D5CDD505-2E9C-101B-9397-08002B2CF9AE}" pid="52" name="tableTemplate">
    <vt:lpwstr>tableTitle ititleDelim t</vt:lpwstr>
  </property>
  <property fmtid="{D5CDD505-2E9C-101B-9397-08002B2CF9AE}" pid="53" name="tableTitle">
    <vt:lpwstr>Table</vt:lpwstr>
  </property>
  <property fmtid="{D5CDD505-2E9C-101B-9397-08002B2CF9AE}" pid="54" name="tblLabels">
    <vt:lpwstr>arabic</vt:lpwstr>
  </property>
  <property fmtid="{D5CDD505-2E9C-101B-9397-08002B2CF9AE}" pid="55" name="tblPrefix">
    <vt:lpwstr/>
  </property>
  <property fmtid="{D5CDD505-2E9C-101B-9397-08002B2CF9AE}" pid="56" name="tblPrefixTemplate">
    <vt:lpwstr>p i</vt:lpwstr>
  </property>
  <property fmtid="{D5CDD505-2E9C-101B-9397-08002B2CF9AE}" pid="57" name="titleDelim">
    <vt:lpwstr>:</vt:lpwstr>
  </property>
  <property fmtid="{D5CDD505-2E9C-101B-9397-08002B2CF9AE}" pid="58" name="ContentTypeId">
    <vt:lpwstr>0x010100093B4647C8C98D4794C110BC3F9055A3</vt:lpwstr>
  </property>
  <property fmtid="{D5CDD505-2E9C-101B-9397-08002B2CF9AE}" pid="59" name="MediaServiceImageTags">
    <vt:lpwstr/>
  </property>
</Properties>
</file>